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83EF" w14:textId="1BAB633E" w:rsidR="00206452" w:rsidRPr="005B1EB5" w:rsidRDefault="00206452" w:rsidP="00206452">
      <w:pPr>
        <w:spacing w:line="360" w:lineRule="auto"/>
        <w:jc w:val="center"/>
        <w:rPr>
          <w:rFonts w:ascii="Century Gothic" w:hAnsi="Century Gothic"/>
          <w:b/>
          <w:noProof/>
          <w:sz w:val="32"/>
          <w:szCs w:val="32"/>
        </w:rPr>
      </w:pPr>
      <w:r w:rsidRPr="005B1EB5">
        <w:rPr>
          <w:rFonts w:ascii="Century Gothic" w:hAnsi="Century Gothic"/>
          <w:b/>
          <w:noProof/>
          <w:sz w:val="32"/>
          <w:szCs w:val="32"/>
        </w:rPr>
        <w:t xml:space="preserve">Kommentierte Slides </w:t>
      </w:r>
      <w:r>
        <w:rPr>
          <w:rFonts w:ascii="Century Gothic" w:hAnsi="Century Gothic"/>
          <w:b/>
          <w:noProof/>
          <w:sz w:val="32"/>
          <w:szCs w:val="32"/>
        </w:rPr>
        <w:t xml:space="preserve">Lernende </w:t>
      </w:r>
      <w:r w:rsidRPr="005B1EB5">
        <w:rPr>
          <w:rFonts w:ascii="Century Gothic" w:hAnsi="Century Gothic"/>
          <w:b/>
          <w:noProof/>
          <w:sz w:val="32"/>
          <w:szCs w:val="32"/>
        </w:rPr>
        <w:t xml:space="preserve">– </w:t>
      </w:r>
      <w:r>
        <w:rPr>
          <w:rFonts w:ascii="Century Gothic" w:hAnsi="Century Gothic"/>
          <w:b/>
          <w:noProof/>
          <w:sz w:val="32"/>
          <w:szCs w:val="32"/>
        </w:rPr>
        <w:t>Zusatzaktivitäten</w:t>
      </w:r>
    </w:p>
    <w:p w14:paraId="28CD5A64" w14:textId="77777777" w:rsidR="00206452" w:rsidRPr="0083752A" w:rsidRDefault="00206452" w:rsidP="00206452">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206452" w:rsidRPr="0083752A" w14:paraId="70BEF305" w14:textId="77777777" w:rsidTr="0003420B">
        <w:tc>
          <w:tcPr>
            <w:tcW w:w="4536" w:type="dxa"/>
          </w:tcPr>
          <w:p w14:paraId="36FCAA45"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43DBF771" wp14:editId="6E80CD3C">
                  <wp:extent cx="2743198" cy="1543049"/>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161CFA67" w14:textId="5A79592A" w:rsidR="00206452" w:rsidRDefault="00206452" w:rsidP="0003420B">
            <w:pPr>
              <w:spacing w:before="120" w:after="40"/>
              <w:rPr>
                <w:rFonts w:ascii="Century Gothic" w:eastAsia="Arial Unicode MS" w:hAnsi="Century Gothic"/>
                <w:sz w:val="16"/>
                <w:szCs w:val="16"/>
              </w:rPr>
            </w:pPr>
          </w:p>
        </w:tc>
      </w:tr>
      <w:tr w:rsidR="00206452" w:rsidRPr="0083752A" w14:paraId="7B88F6DF" w14:textId="77777777" w:rsidTr="0003420B">
        <w:tc>
          <w:tcPr>
            <w:tcW w:w="4536" w:type="dxa"/>
          </w:tcPr>
          <w:p w14:paraId="687DEA18"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581983FB" wp14:editId="5130EF3A">
                  <wp:extent cx="2731769" cy="1536620"/>
                  <wp:effectExtent l="19050" t="19050" r="12065" b="2603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fik 9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1769" cy="1536620"/>
                          </a:xfrm>
                          <a:prstGeom prst="rect">
                            <a:avLst/>
                          </a:prstGeom>
                          <a:noFill/>
                          <a:ln>
                            <a:solidFill>
                              <a:schemeClr val="tx1"/>
                            </a:solidFill>
                          </a:ln>
                        </pic:spPr>
                      </pic:pic>
                    </a:graphicData>
                  </a:graphic>
                </wp:inline>
              </w:drawing>
            </w:r>
          </w:p>
        </w:tc>
        <w:tc>
          <w:tcPr>
            <w:tcW w:w="4820" w:type="dxa"/>
          </w:tcPr>
          <w:p w14:paraId="418A8E7C"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Unternehmerische Kompetenzen lassen sich trainieren. Im Folgenden werden beispielhaft drei Aktivitäten aufgeführt, mit denen das gelingen kann.</w:t>
            </w:r>
          </w:p>
        </w:tc>
      </w:tr>
      <w:tr w:rsidR="00206452" w:rsidRPr="0083752A" w14:paraId="70AF9FDA" w14:textId="77777777" w:rsidTr="0003420B">
        <w:tc>
          <w:tcPr>
            <w:tcW w:w="4536" w:type="dxa"/>
          </w:tcPr>
          <w:p w14:paraId="5073C252"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395B8763" wp14:editId="2B5B7EB8">
                  <wp:extent cx="2737484" cy="1539835"/>
                  <wp:effectExtent l="19050" t="19050" r="25400" b="2286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1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7484" cy="1539835"/>
                          </a:xfrm>
                          <a:prstGeom prst="rect">
                            <a:avLst/>
                          </a:prstGeom>
                          <a:noFill/>
                          <a:ln>
                            <a:solidFill>
                              <a:schemeClr val="tx1"/>
                            </a:solidFill>
                          </a:ln>
                        </pic:spPr>
                      </pic:pic>
                    </a:graphicData>
                  </a:graphic>
                </wp:inline>
              </w:drawing>
            </w:r>
          </w:p>
        </w:tc>
        <w:tc>
          <w:tcPr>
            <w:tcW w:w="4820" w:type="dxa"/>
          </w:tcPr>
          <w:p w14:paraId="03F2A0A1"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Diese Aktivität ist bewusst so beschrieben, dass die Lernenden jemanden ansprechen sollen, den sie noch </w:t>
            </w:r>
            <w:r w:rsidRPr="00BA253E">
              <w:rPr>
                <w:rFonts w:ascii="Century Gothic" w:eastAsia="Arial Unicode MS" w:hAnsi="Century Gothic"/>
                <w:sz w:val="16"/>
                <w:szCs w:val="16"/>
                <w:u w:val="single"/>
              </w:rPr>
              <w:t>nicht</w:t>
            </w:r>
            <w:r>
              <w:rPr>
                <w:rFonts w:ascii="Century Gothic" w:eastAsia="Arial Unicode MS" w:hAnsi="Century Gothic"/>
                <w:sz w:val="16"/>
                <w:szCs w:val="16"/>
              </w:rPr>
              <w:t xml:space="preserve"> kennen.</w:t>
            </w:r>
          </w:p>
          <w:p w14:paraId="0E08F5FE"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Gründerinnen und Gründer müssen immer wieder mit Personen in Kontakt treten, um sie nach etwas zu fragen: nach Informationen, nach weiteren Kontakten, nach Feedback, nach Zeit und Geld.</w:t>
            </w:r>
          </w:p>
          <w:p w14:paraId="08D1B8EA"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Es ist daher wichtig, die Scheu zu überwinden andere Personen – und eben auch solche, die man noch nicht kennt – anzusprechen.</w:t>
            </w:r>
          </w:p>
        </w:tc>
      </w:tr>
      <w:tr w:rsidR="00206452" w:rsidRPr="0083752A" w14:paraId="1A7D2305" w14:textId="77777777" w:rsidTr="0003420B">
        <w:tc>
          <w:tcPr>
            <w:tcW w:w="4536" w:type="dxa"/>
          </w:tcPr>
          <w:p w14:paraId="1C946CE7"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6288DBDB" wp14:editId="51832AD3">
                  <wp:extent cx="2733040" cy="1537334"/>
                  <wp:effectExtent l="19050" t="19050" r="10160" b="2540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Grafik 15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3040" cy="1537334"/>
                          </a:xfrm>
                          <a:prstGeom prst="rect">
                            <a:avLst/>
                          </a:prstGeom>
                          <a:noFill/>
                          <a:ln>
                            <a:solidFill>
                              <a:schemeClr val="tx1"/>
                            </a:solidFill>
                          </a:ln>
                        </pic:spPr>
                      </pic:pic>
                    </a:graphicData>
                  </a:graphic>
                </wp:inline>
              </w:drawing>
            </w:r>
          </w:p>
        </w:tc>
        <w:tc>
          <w:tcPr>
            <w:tcW w:w="4820" w:type="dxa"/>
          </w:tcPr>
          <w:p w14:paraId="05229364"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Auch hier geht es darum, jemanden, den man noch nicht kennt, um einen Gefallen zu bitten. </w:t>
            </w:r>
          </w:p>
        </w:tc>
      </w:tr>
      <w:tr w:rsidR="00206452" w:rsidRPr="0083752A" w14:paraId="21D0AEAD" w14:textId="77777777" w:rsidTr="0003420B">
        <w:tc>
          <w:tcPr>
            <w:tcW w:w="4536" w:type="dxa"/>
          </w:tcPr>
          <w:p w14:paraId="4DB5396D"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lastRenderedPageBreak/>
              <w:drawing>
                <wp:inline distT="0" distB="0" distL="0" distR="0" wp14:anchorId="0E7769E2" wp14:editId="2613D005">
                  <wp:extent cx="2731769" cy="1536620"/>
                  <wp:effectExtent l="19050" t="19050" r="12065" b="2603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Grafik 1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1769" cy="1536620"/>
                          </a:xfrm>
                          <a:prstGeom prst="rect">
                            <a:avLst/>
                          </a:prstGeom>
                          <a:noFill/>
                          <a:ln>
                            <a:solidFill>
                              <a:schemeClr val="tx1"/>
                            </a:solidFill>
                          </a:ln>
                        </pic:spPr>
                      </pic:pic>
                    </a:graphicData>
                  </a:graphic>
                </wp:inline>
              </w:drawing>
            </w:r>
          </w:p>
        </w:tc>
        <w:tc>
          <w:tcPr>
            <w:tcW w:w="4820" w:type="dxa"/>
          </w:tcPr>
          <w:p w14:paraId="3C68F6CB"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Bei dieser Aktivität werden Fähigkeiten trainiert, die später auch für das Verkaufen von Produkten und Dienstleistungen wichtig sind. So muss man z. B. Argumente finden, warum der Tauschgegenstand, den man anzubieten hat, für die andere Person interessant sein könnte.</w:t>
            </w:r>
          </w:p>
        </w:tc>
      </w:tr>
      <w:bookmarkEnd w:id="0"/>
    </w:tbl>
    <w:p w14:paraId="5DC9F006" w14:textId="77777777" w:rsidR="00206452" w:rsidRPr="0083752A" w:rsidRDefault="00206452" w:rsidP="00206452">
      <w:pPr>
        <w:spacing w:before="40" w:after="40" w:line="260" w:lineRule="exact"/>
        <w:ind w:left="357"/>
        <w:rPr>
          <w:rFonts w:ascii="Century Gothic" w:eastAsia="Arial Unicode MS" w:hAnsi="Century Gothic"/>
          <w:sz w:val="20"/>
          <w:szCs w:val="20"/>
          <w:lang w:val="de-DE"/>
        </w:rPr>
      </w:pPr>
    </w:p>
    <w:p w14:paraId="2709F378" w14:textId="77777777" w:rsidR="00206452" w:rsidRPr="00635DFE" w:rsidRDefault="00206452" w:rsidP="00206452">
      <w:pPr>
        <w:rPr>
          <w:lang w:val="de-DE"/>
        </w:rPr>
      </w:pPr>
    </w:p>
    <w:p w14:paraId="43CDFB8A" w14:textId="77777777" w:rsidR="00206452" w:rsidRPr="007B1669" w:rsidRDefault="00206452" w:rsidP="00206452">
      <w:pPr>
        <w:rPr>
          <w:lang w:val="de-DE"/>
        </w:rPr>
      </w:pPr>
    </w:p>
    <w:p w14:paraId="3C4D60E1" w14:textId="77777777" w:rsidR="00DA1C03" w:rsidRPr="00206452" w:rsidRDefault="00DA1C03">
      <w:pPr>
        <w:rPr>
          <w:lang w:val="de-DE"/>
        </w:rPr>
      </w:pPr>
    </w:p>
    <w:sectPr w:rsidR="00DA1C03" w:rsidRPr="00206452" w:rsidSect="00564E2A">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E5B8" w14:textId="77777777" w:rsidR="00000000" w:rsidRDefault="006C08C5">
      <w:r>
        <w:separator/>
      </w:r>
    </w:p>
  </w:endnote>
  <w:endnote w:type="continuationSeparator" w:id="0">
    <w:p w14:paraId="392661CE" w14:textId="77777777" w:rsidR="00000000" w:rsidRDefault="006C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4E15" w14:textId="77777777" w:rsidR="00BB3649" w:rsidRDefault="006C08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1FF7FAF1" w14:textId="77777777" w:rsidR="00BB3649" w:rsidRPr="007B0DD6" w:rsidRDefault="003D5ACA" w:rsidP="00E90C32">
        <w:pPr>
          <w:pStyle w:val="Fuzeile"/>
          <w:jc w:val="right"/>
          <w:rPr>
            <w:rFonts w:ascii="Century Gothic" w:hAnsi="Century Gothic"/>
            <w:sz w:val="20"/>
            <w:szCs w:val="20"/>
          </w:rPr>
        </w:pPr>
        <w:r w:rsidRPr="007B0DD6">
          <w:rPr>
            <w:rFonts w:ascii="Century Gothic" w:hAnsi="Century Gothic"/>
            <w:sz w:val="20"/>
            <w:szCs w:val="20"/>
          </w:rPr>
          <w:t xml:space="preserve">Seite </w:t>
        </w:r>
        <w:r w:rsidRPr="007B0DD6">
          <w:rPr>
            <w:rFonts w:ascii="Century Gothic" w:hAnsi="Century Gothic"/>
            <w:sz w:val="20"/>
            <w:szCs w:val="20"/>
          </w:rPr>
          <w:fldChar w:fldCharType="begin"/>
        </w:r>
        <w:r w:rsidRPr="007B0DD6">
          <w:rPr>
            <w:rFonts w:ascii="Century Gothic" w:hAnsi="Century Gothic"/>
            <w:sz w:val="20"/>
            <w:szCs w:val="20"/>
          </w:rPr>
          <w:instrText>PAGE   \* MERGEFORMAT</w:instrText>
        </w:r>
        <w:r w:rsidRPr="007B0DD6">
          <w:rPr>
            <w:rFonts w:ascii="Century Gothic" w:hAnsi="Century Gothic"/>
            <w:sz w:val="20"/>
            <w:szCs w:val="20"/>
          </w:rPr>
          <w:fldChar w:fldCharType="separate"/>
        </w:r>
        <w:r w:rsidRPr="007B0DD6">
          <w:rPr>
            <w:rFonts w:ascii="Century Gothic" w:hAnsi="Century Gothic"/>
            <w:noProof/>
            <w:sz w:val="20"/>
            <w:szCs w:val="20"/>
          </w:rPr>
          <w:t>2</w:t>
        </w:r>
        <w:r w:rsidRPr="007B0DD6">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9858" w14:textId="77777777" w:rsidR="00BB3649" w:rsidRDefault="006C0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391D" w14:textId="77777777" w:rsidR="00000000" w:rsidRDefault="006C08C5">
      <w:r>
        <w:separator/>
      </w:r>
    </w:p>
  </w:footnote>
  <w:footnote w:type="continuationSeparator" w:id="0">
    <w:p w14:paraId="1A5EC7F6" w14:textId="77777777" w:rsidR="00000000" w:rsidRDefault="006C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F40E" w14:textId="77777777" w:rsidR="00BB3649" w:rsidRDefault="006C08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AD60" w14:textId="77777777" w:rsidR="00BB3649" w:rsidRDefault="006C08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F312" w14:textId="77777777" w:rsidR="00BB3649" w:rsidRDefault="006C08C5"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52"/>
    <w:rsid w:val="00206452"/>
    <w:rsid w:val="003D5ACA"/>
    <w:rsid w:val="006C08C5"/>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00E"/>
  <w15:chartTrackingRefBased/>
  <w15:docId w15:val="{4F4FA54C-C9AC-42EA-80D6-FD57484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45 Light" w:eastAsiaTheme="minorHAnsi" w:hAnsi="Frutiger LT Std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452"/>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452"/>
    <w:pPr>
      <w:spacing w:after="200" w:line="276" w:lineRule="auto"/>
      <w:ind w:left="720"/>
      <w:contextualSpacing/>
    </w:pPr>
    <w:rPr>
      <w:rFonts w:ascii="Calibri" w:hAnsi="Calibri"/>
      <w:sz w:val="22"/>
      <w:szCs w:val="22"/>
      <w:lang w:eastAsia="en-US"/>
    </w:rPr>
  </w:style>
  <w:style w:type="paragraph" w:styleId="Kopfzeile">
    <w:name w:val="header"/>
    <w:basedOn w:val="Standard"/>
    <w:link w:val="KopfzeileZchn"/>
    <w:uiPriority w:val="99"/>
    <w:rsid w:val="00206452"/>
    <w:pPr>
      <w:tabs>
        <w:tab w:val="center" w:pos="4536"/>
        <w:tab w:val="right" w:pos="9072"/>
      </w:tabs>
    </w:pPr>
  </w:style>
  <w:style w:type="character" w:customStyle="1" w:styleId="KopfzeileZchn">
    <w:name w:val="Kopfzeile Zchn"/>
    <w:basedOn w:val="Absatz-Standardschriftart"/>
    <w:link w:val="Kopfzeile"/>
    <w:uiPriority w:val="99"/>
    <w:rsid w:val="00206452"/>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206452"/>
    <w:pPr>
      <w:tabs>
        <w:tab w:val="center" w:pos="4536"/>
        <w:tab w:val="right" w:pos="9072"/>
      </w:tabs>
    </w:pPr>
    <w:rPr>
      <w:lang w:eastAsia="ja-JP"/>
    </w:rPr>
  </w:style>
  <w:style w:type="character" w:customStyle="1" w:styleId="FuzeileZchn">
    <w:name w:val="Fußzeile Zchn"/>
    <w:basedOn w:val="Absatz-Standardschriftart"/>
    <w:link w:val="Fuzeile"/>
    <w:uiPriority w:val="99"/>
    <w:rsid w:val="00206452"/>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868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Jossen Bettina</cp:lastModifiedBy>
  <cp:revision>3</cp:revision>
  <dcterms:created xsi:type="dcterms:W3CDTF">2021-03-30T15:43:00Z</dcterms:created>
  <dcterms:modified xsi:type="dcterms:W3CDTF">2021-03-31T10:35:00Z</dcterms:modified>
</cp:coreProperties>
</file>