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971F5" w14:textId="34BBE2ED"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pour l’</w:t>
      </w:r>
      <w:proofErr w:type="spellStart"/>
      <w:r>
        <w:rPr>
          <w:rFonts w:ascii="Century Gothic" w:hAnsi="Century Gothic"/>
          <w:b/>
          <w:sz w:val="32"/>
        </w:rPr>
        <w:t>enseignant-e</w:t>
      </w:r>
      <w:proofErr w:type="spellEnd"/>
    </w:p>
    <w:p w14:paraId="3B5E9752" w14:textId="36E0073F" w:rsidR="005476A7" w:rsidRPr="00F31845" w:rsidRDefault="005476A7" w:rsidP="0023153E">
      <w:pPr>
        <w:spacing w:line="360" w:lineRule="auto"/>
        <w:jc w:val="center"/>
        <w:rPr>
          <w:rFonts w:ascii="Century Gothic" w:hAnsi="Century Gothic"/>
          <w:b/>
          <w:sz w:val="22"/>
          <w:szCs w:val="22"/>
        </w:rPr>
      </w:pPr>
    </w:p>
    <w:p w14:paraId="26B4E9F0" w14:textId="3A0F7E71" w:rsidR="006F630F" w:rsidRPr="00F31845" w:rsidRDefault="005476A7" w:rsidP="006F630F">
      <w:pPr>
        <w:spacing w:line="360" w:lineRule="auto"/>
        <w:jc w:val="center"/>
        <w:rPr>
          <w:rFonts w:ascii="Century Gothic" w:hAnsi="Century Gothic"/>
          <w:b/>
          <w:sz w:val="22"/>
          <w:szCs w:val="22"/>
        </w:rPr>
      </w:pPr>
      <w:r>
        <w:rPr>
          <w:rFonts w:ascii="Century Gothic" w:hAnsi="Century Gothic"/>
          <w:b/>
          <w:sz w:val="22"/>
        </w:rPr>
        <w:t>Sujet jaune 7: L’importance de l’entrepreneuriat en Suisse</w:t>
      </w:r>
    </w:p>
    <w:p w14:paraId="463ECDD8" w14:textId="31288AF9" w:rsidR="006F630F" w:rsidRPr="00F31845" w:rsidRDefault="006F630F" w:rsidP="00F337E1">
      <w:pPr>
        <w:spacing w:before="40" w:after="40" w:line="260" w:lineRule="exact"/>
        <w:ind w:left="357"/>
        <w:rPr>
          <w:rFonts w:eastAsia="Arial Unicode MS"/>
          <w:sz w:val="20"/>
          <w:szCs w:val="20"/>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1B2C92" w:rsidRPr="00F31845" w14:paraId="40F5EF19" w14:textId="77777777" w:rsidTr="00904C72">
        <w:tc>
          <w:tcPr>
            <w:tcW w:w="4536" w:type="dxa"/>
          </w:tcPr>
          <w:p w14:paraId="5CEFE911" w14:textId="630138D8"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40EEB03A" wp14:editId="15F211C3">
                  <wp:extent cx="2734573" cy="1533873"/>
                  <wp:effectExtent l="19050" t="19050" r="2794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37196" cy="1535345"/>
                          </a:xfrm>
                          <a:prstGeom prst="rect">
                            <a:avLst/>
                          </a:prstGeom>
                          <a:ln>
                            <a:solidFill>
                              <a:schemeClr val="tx1"/>
                            </a:solidFill>
                          </a:ln>
                        </pic:spPr>
                      </pic:pic>
                    </a:graphicData>
                  </a:graphic>
                </wp:inline>
              </w:drawing>
            </w:r>
          </w:p>
        </w:tc>
        <w:tc>
          <w:tcPr>
            <w:tcW w:w="4820" w:type="dxa"/>
          </w:tcPr>
          <w:p w14:paraId="4D321780" w14:textId="719FF050" w:rsidR="00410D6B" w:rsidRPr="00F31845" w:rsidRDefault="00410D6B" w:rsidP="00410D6B">
            <w:pPr>
              <w:spacing w:before="120" w:after="40"/>
              <w:rPr>
                <w:rFonts w:ascii="Century Gothic" w:eastAsia="Arial Unicode MS" w:hAnsi="Century Gothic"/>
                <w:b/>
                <w:sz w:val="16"/>
                <w:szCs w:val="16"/>
              </w:rPr>
            </w:pPr>
            <w:r>
              <w:rPr>
                <w:rFonts w:ascii="Century Gothic" w:hAnsi="Century Gothic"/>
                <w:b/>
                <w:sz w:val="16"/>
              </w:rPr>
              <w:t>Aperçu de l’étendue et de l’importance des créations d’entreprises, et notamment des petites et moyennes e</w:t>
            </w:r>
            <w:r>
              <w:rPr>
                <w:rFonts w:ascii="Century Gothic" w:hAnsi="Century Gothic"/>
                <w:b/>
                <w:sz w:val="16"/>
              </w:rPr>
              <w:t>n</w:t>
            </w:r>
            <w:r>
              <w:rPr>
                <w:rFonts w:ascii="Century Gothic" w:hAnsi="Century Gothic"/>
                <w:b/>
                <w:sz w:val="16"/>
              </w:rPr>
              <w:t>treprises, en Suisse</w:t>
            </w:r>
          </w:p>
          <w:p w14:paraId="7ACD240A" w14:textId="1059AB0E"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Cette séquence démontre l’importance de l’entrepreneuriat pour la Suisse et pour la société. En outre, elle aborde plus spécifiquement la thématique des femmes dans la création d’entreprise, car il persiste ici des différences significatives entre les sexes.</w:t>
            </w:r>
          </w:p>
          <w:p w14:paraId="2AEC7EEF" w14:textId="77777777" w:rsidR="001B2C92" w:rsidRPr="00F31845" w:rsidRDefault="001B2C92" w:rsidP="00410D6B">
            <w:pPr>
              <w:spacing w:before="120" w:after="40"/>
              <w:rPr>
                <w:rFonts w:ascii="Century Gothic" w:eastAsia="Arial Unicode MS" w:hAnsi="Century Gothic"/>
                <w:b/>
                <w:bCs/>
                <w:sz w:val="16"/>
                <w:szCs w:val="16"/>
              </w:rPr>
            </w:pPr>
            <w:r>
              <w:rPr>
                <w:rFonts w:ascii="Century Gothic" w:hAnsi="Century Gothic"/>
                <w:b/>
                <w:sz w:val="16"/>
              </w:rPr>
              <w:t>Objectifs de cette séquence:</w:t>
            </w:r>
          </w:p>
          <w:p w14:paraId="4DCE4E7F" w14:textId="3D1F1E2E"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Les enseignants et enseignantes peuvent expliquer l’importance des petites et moyennes entreprises (PME) et de l’activité entrepreneuriale pour l’économie suisse.</w:t>
            </w:r>
          </w:p>
          <w:p w14:paraId="7EA63666"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Les enseignants et enseignantes peuvent détailler le concept d’«écosystème entrepreneurial» et indiquer comment divers facteurs contribuent au succès de ces écosystèmes.</w:t>
            </w:r>
          </w:p>
          <w:p w14:paraId="17696289" w14:textId="77777777" w:rsidR="001B2C92" w:rsidRPr="00F31845" w:rsidRDefault="001B2C92" w:rsidP="00957FC0">
            <w:pPr>
              <w:numPr>
                <w:ilvl w:val="0"/>
                <w:numId w:val="2"/>
              </w:numPr>
              <w:spacing w:before="120" w:after="40"/>
              <w:ind w:left="357" w:hanging="357"/>
              <w:contextualSpacing/>
              <w:rPr>
                <w:rFonts w:ascii="Century Gothic" w:eastAsia="Arial Unicode MS" w:hAnsi="Century Gothic"/>
                <w:sz w:val="16"/>
                <w:szCs w:val="16"/>
              </w:rPr>
            </w:pPr>
            <w:r>
              <w:rPr>
                <w:rFonts w:ascii="Century Gothic" w:hAnsi="Century Gothic"/>
                <w:sz w:val="16"/>
              </w:rPr>
              <w:t xml:space="preserve">Les enseignants et enseignantes peuvent expliquer ce qu’est le </w:t>
            </w:r>
            <w:proofErr w:type="spellStart"/>
            <w:r>
              <w:rPr>
                <w:rFonts w:ascii="Century Gothic" w:hAnsi="Century Gothic"/>
                <w:i/>
                <w:iCs/>
                <w:sz w:val="16"/>
              </w:rPr>
              <w:t>gender</w:t>
            </w:r>
            <w:proofErr w:type="spellEnd"/>
            <w:r>
              <w:rPr>
                <w:rFonts w:ascii="Century Gothic" w:hAnsi="Century Gothic"/>
                <w:i/>
                <w:iCs/>
                <w:sz w:val="16"/>
              </w:rPr>
              <w:t xml:space="preserve"> gap</w:t>
            </w:r>
            <w:r>
              <w:rPr>
                <w:rFonts w:ascii="Century Gothic" w:hAnsi="Century Gothic"/>
                <w:sz w:val="16"/>
              </w:rPr>
              <w:t xml:space="preserve"> et sensibiliser les apprenants et apprenantes à cette thématique.</w:t>
            </w:r>
          </w:p>
        </w:tc>
      </w:tr>
      <w:tr w:rsidR="001B2C92" w:rsidRPr="00F31845" w14:paraId="2FF5FE70" w14:textId="77777777" w:rsidTr="00904C72">
        <w:tc>
          <w:tcPr>
            <w:tcW w:w="4536" w:type="dxa"/>
          </w:tcPr>
          <w:p w14:paraId="35E256F1" w14:textId="5EEFC412" w:rsidR="001B2C92" w:rsidRPr="00F31845" w:rsidRDefault="00EA1B2B" w:rsidP="00904C72">
            <w:pPr>
              <w:spacing w:before="200" w:after="200"/>
              <w:rPr>
                <w:rFonts w:eastAsia="Arial Unicode MS"/>
              </w:rPr>
            </w:pPr>
            <w:r w:rsidRPr="00EA1B2B">
              <w:rPr>
                <w:rFonts w:eastAsia="Arial Unicode MS"/>
              </w:rPr>
              <w:drawing>
                <wp:inline distT="0" distB="0" distL="0" distR="0" wp14:anchorId="2F41CDF1" wp14:editId="799E7DAC">
                  <wp:extent cx="2760452" cy="1551910"/>
                  <wp:effectExtent l="19050" t="19050" r="20955" b="1079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265" cy="1552929"/>
                          </a:xfrm>
                          <a:prstGeom prst="rect">
                            <a:avLst/>
                          </a:prstGeom>
                          <a:ln>
                            <a:solidFill>
                              <a:schemeClr val="tx1"/>
                            </a:solidFill>
                          </a:ln>
                        </pic:spPr>
                      </pic:pic>
                    </a:graphicData>
                  </a:graphic>
                </wp:inline>
              </w:drawing>
            </w:r>
          </w:p>
        </w:tc>
        <w:tc>
          <w:tcPr>
            <w:tcW w:w="4820" w:type="dxa"/>
          </w:tcPr>
          <w:p w14:paraId="472E329E" w14:textId="560423EE" w:rsidR="001B2C92" w:rsidRPr="00F31845" w:rsidRDefault="00410D6B" w:rsidP="00410D6B">
            <w:pPr>
              <w:spacing w:before="120" w:after="40"/>
              <w:rPr>
                <w:rFonts w:ascii="Century Gothic" w:eastAsia="Arial Unicode MS" w:hAnsi="Century Gothic"/>
                <w:sz w:val="16"/>
                <w:szCs w:val="16"/>
              </w:rPr>
            </w:pPr>
            <w:r>
              <w:rPr>
                <w:rFonts w:ascii="Century Gothic" w:hAnsi="Century Gothic"/>
                <w:sz w:val="16"/>
              </w:rPr>
              <w:t>Les PME incarnent la colonne vertébrale de l’économie suisse, comme c’est également le cas dans de nombreux autres pays. Les très petites entreprises, qui emploient moins de 10 personnes, représentent 90 % des entreprises helvétiques. La prospérité de l’économie suisse dépend donc grandement de la réussite des différentes PME.</w:t>
            </w:r>
          </w:p>
          <w:p w14:paraId="5258B3C9" w14:textId="77777777"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Par ailleurs, le succès de chaque PME dépend de sa c</w:t>
            </w:r>
            <w:r>
              <w:rPr>
                <w:rFonts w:ascii="Century Gothic" w:hAnsi="Century Gothic"/>
                <w:sz w:val="16"/>
              </w:rPr>
              <w:t>a</w:t>
            </w:r>
            <w:r>
              <w:rPr>
                <w:rFonts w:ascii="Century Gothic" w:hAnsi="Century Gothic"/>
                <w:sz w:val="16"/>
              </w:rPr>
              <w:t>pacité à entreprendre, non seulement à son lancement mais également par la suite.</w:t>
            </w:r>
          </w:p>
        </w:tc>
      </w:tr>
      <w:tr w:rsidR="001B2C92" w:rsidRPr="00F31845" w14:paraId="4DABB94C" w14:textId="77777777" w:rsidTr="00904C72">
        <w:tc>
          <w:tcPr>
            <w:tcW w:w="4536" w:type="dxa"/>
          </w:tcPr>
          <w:p w14:paraId="0B2ECF0E" w14:textId="4C8882AF"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2C0A4061" wp14:editId="5FB21CB8">
                  <wp:extent cx="2734573" cy="1540559"/>
                  <wp:effectExtent l="19050" t="19050" r="27940" b="215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5031" cy="1540817"/>
                          </a:xfrm>
                          <a:prstGeom prst="rect">
                            <a:avLst/>
                          </a:prstGeom>
                          <a:ln>
                            <a:solidFill>
                              <a:schemeClr val="tx1"/>
                            </a:solidFill>
                          </a:ln>
                        </pic:spPr>
                      </pic:pic>
                    </a:graphicData>
                  </a:graphic>
                </wp:inline>
              </w:drawing>
            </w:r>
          </w:p>
        </w:tc>
        <w:tc>
          <w:tcPr>
            <w:tcW w:w="4820" w:type="dxa"/>
          </w:tcPr>
          <w:p w14:paraId="6989270B" w14:textId="77E33A9F" w:rsidR="001B2C92" w:rsidRPr="00F31845" w:rsidRDefault="001B2C92" w:rsidP="00410D6B">
            <w:pPr>
              <w:spacing w:before="120" w:after="40"/>
              <w:rPr>
                <w:rFonts w:ascii="Century Gothic" w:eastAsia="Arial Unicode MS" w:hAnsi="Century Gothic"/>
                <w:sz w:val="16"/>
                <w:szCs w:val="16"/>
              </w:rPr>
            </w:pPr>
            <w:r>
              <w:rPr>
                <w:rFonts w:ascii="Century Gothic" w:hAnsi="Century Gothic"/>
                <w:sz w:val="16"/>
              </w:rPr>
              <w:t>Les PME suisses emploient environ 68 % des personnes a</w:t>
            </w:r>
            <w:r>
              <w:rPr>
                <w:rFonts w:ascii="Century Gothic" w:hAnsi="Century Gothic"/>
                <w:sz w:val="16"/>
              </w:rPr>
              <w:t>c</w:t>
            </w:r>
            <w:r>
              <w:rPr>
                <w:rFonts w:ascii="Century Gothic" w:hAnsi="Century Gothic"/>
                <w:sz w:val="16"/>
              </w:rPr>
              <w:t>tives. Seulement 32 % sont salariées dans de grandes e</w:t>
            </w:r>
            <w:r>
              <w:rPr>
                <w:rFonts w:ascii="Century Gothic" w:hAnsi="Century Gothic"/>
                <w:sz w:val="16"/>
              </w:rPr>
              <w:t>n</w:t>
            </w:r>
            <w:r>
              <w:rPr>
                <w:rFonts w:ascii="Century Gothic" w:hAnsi="Century Gothic"/>
                <w:sz w:val="16"/>
              </w:rPr>
              <w:t>treprises comptant 250 collaborateurs et collaboratrices ou plus.</w:t>
            </w:r>
          </w:p>
        </w:tc>
      </w:tr>
      <w:tr w:rsidR="001B2C92" w:rsidRPr="00F31845" w14:paraId="4AE938EA" w14:textId="77777777" w:rsidTr="00904C72">
        <w:tc>
          <w:tcPr>
            <w:tcW w:w="4536" w:type="dxa"/>
          </w:tcPr>
          <w:p w14:paraId="4FF06C74" w14:textId="081CBFC3"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51F55AC7" wp14:editId="7EFC9EDE">
                  <wp:extent cx="2734573" cy="1530966"/>
                  <wp:effectExtent l="19050" t="19050" r="889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6228" cy="1526294"/>
                          </a:xfrm>
                          <a:prstGeom prst="rect">
                            <a:avLst/>
                          </a:prstGeom>
                          <a:ln>
                            <a:solidFill>
                              <a:schemeClr val="tx1"/>
                            </a:solidFill>
                          </a:ln>
                        </pic:spPr>
                      </pic:pic>
                    </a:graphicData>
                  </a:graphic>
                </wp:inline>
              </w:drawing>
            </w:r>
          </w:p>
        </w:tc>
        <w:tc>
          <w:tcPr>
            <w:tcW w:w="4820" w:type="dxa"/>
          </w:tcPr>
          <w:p w14:paraId="557D81CB" w14:textId="40C7011B" w:rsidR="001B2C92" w:rsidRPr="00F31845" w:rsidRDefault="00410D6B" w:rsidP="00410D6B">
            <w:pPr>
              <w:spacing w:before="120" w:after="40"/>
              <w:rPr>
                <w:rFonts w:ascii="Century Gothic" w:eastAsia="Arial Unicode MS" w:hAnsi="Century Gothic"/>
                <w:bCs/>
                <w:sz w:val="16"/>
                <w:szCs w:val="16"/>
              </w:rPr>
            </w:pPr>
            <w:r>
              <w:rPr>
                <w:rFonts w:ascii="Century Gothic" w:hAnsi="Century Gothic"/>
                <w:sz w:val="16"/>
              </w:rPr>
              <w:t>Dans la plupart des cas, les PME sont définies uniquement par le nombre de collaborateurs et collaboratrices. Tout</w:t>
            </w:r>
            <w:r>
              <w:rPr>
                <w:rFonts w:ascii="Century Gothic" w:hAnsi="Century Gothic"/>
                <w:sz w:val="16"/>
              </w:rPr>
              <w:t>e</w:t>
            </w:r>
            <w:r>
              <w:rPr>
                <w:rFonts w:ascii="Century Gothic" w:hAnsi="Century Gothic"/>
                <w:sz w:val="16"/>
              </w:rPr>
              <w:t>fois, la définition de l’Union européenne va au-delà et prend en compte d’autres facteurs.</w:t>
            </w:r>
          </w:p>
        </w:tc>
      </w:tr>
      <w:tr w:rsidR="001B2C92" w:rsidRPr="00F31845" w14:paraId="39DB6DE2" w14:textId="77777777" w:rsidTr="00904C72">
        <w:tc>
          <w:tcPr>
            <w:tcW w:w="4536" w:type="dxa"/>
          </w:tcPr>
          <w:p w14:paraId="70393F9F" w14:textId="5C6C05F9" w:rsidR="001B2C92" w:rsidRPr="00F31845" w:rsidRDefault="00EA1B2B" w:rsidP="00904C72">
            <w:pPr>
              <w:spacing w:before="200" w:after="200"/>
              <w:rPr>
                <w:rFonts w:eastAsia="Arial Unicode MS"/>
              </w:rPr>
            </w:pPr>
            <w:r w:rsidRPr="00EA1B2B">
              <w:rPr>
                <w:rFonts w:eastAsia="Arial Unicode MS"/>
              </w:rPr>
              <w:lastRenderedPageBreak/>
              <w:drawing>
                <wp:inline distT="0" distB="0" distL="0" distR="0" wp14:anchorId="372E045D" wp14:editId="0A649EE6">
                  <wp:extent cx="2760452" cy="1557486"/>
                  <wp:effectExtent l="19050" t="19050" r="20955" b="241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0947" cy="1557765"/>
                          </a:xfrm>
                          <a:prstGeom prst="rect">
                            <a:avLst/>
                          </a:prstGeom>
                          <a:ln>
                            <a:solidFill>
                              <a:schemeClr val="tx1"/>
                            </a:solidFill>
                          </a:ln>
                        </pic:spPr>
                      </pic:pic>
                    </a:graphicData>
                  </a:graphic>
                </wp:inline>
              </w:drawing>
            </w:r>
          </w:p>
        </w:tc>
        <w:tc>
          <w:tcPr>
            <w:tcW w:w="4820" w:type="dxa"/>
          </w:tcPr>
          <w:p w14:paraId="5F4AB610" w14:textId="7CB8EC5C"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Ces dernières années, le nombre de créations d’entreprises a augmenté en Suisse. Il peut d’agir d’entreprises individuelles simples (par exemple des expert-e-s comptables qui se mettent à leur compte) comme de start-up prometteuses et innovantes.</w:t>
            </w:r>
          </w:p>
          <w:p w14:paraId="50377507" w14:textId="77EABB7E"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Parmi ces entreprises, on ignore combien ont été fondées par d’anciens élèves d’écoles professionnelles. Il est néanmoins fondamental que les apprenti-e-s, et pas un</w:t>
            </w:r>
            <w:r>
              <w:rPr>
                <w:rFonts w:ascii="Century Gothic" w:hAnsi="Century Gothic"/>
                <w:sz w:val="16"/>
              </w:rPr>
              <w:t>i</w:t>
            </w:r>
            <w:r>
              <w:rPr>
                <w:rFonts w:ascii="Century Gothic" w:hAnsi="Century Gothic"/>
                <w:sz w:val="16"/>
              </w:rPr>
              <w:t xml:space="preserve">quement les étudiant-e-s de hautes écoles, disposent des outils nécessaires à la création d’entreprise. C’est aussi une question d’égalité des chances. </w:t>
            </w:r>
          </w:p>
          <w:p w14:paraId="7A9178FD"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Du fait de leur formation professionnelle, les apprenti-e-s sont très proches des processus économiques et sont so</w:t>
            </w:r>
            <w:r>
              <w:rPr>
                <w:rFonts w:ascii="Century Gothic" w:hAnsi="Century Gothic"/>
                <w:sz w:val="16"/>
              </w:rPr>
              <w:t>u</w:t>
            </w:r>
            <w:r>
              <w:rPr>
                <w:rFonts w:ascii="Century Gothic" w:hAnsi="Century Gothic"/>
                <w:sz w:val="16"/>
              </w:rPr>
              <w:t xml:space="preserve">vent confrontés à des difficultés et à des problèmes au quotidien au sein de leur entreprise formatrice. C’est là qu’intervient </w:t>
            </w:r>
            <w:proofErr w:type="spellStart"/>
            <w:r>
              <w:rPr>
                <w:rFonts w:ascii="Century Gothic" w:hAnsi="Century Gothic"/>
                <w:sz w:val="16"/>
              </w:rPr>
              <w:t>myidea</w:t>
            </w:r>
            <w:proofErr w:type="spellEnd"/>
            <w:r>
              <w:rPr>
                <w:rFonts w:ascii="Century Gothic" w:hAnsi="Century Gothic"/>
                <w:sz w:val="16"/>
              </w:rPr>
              <w:t>: le programme forme les apprenants et apprenantes à voir ces défis comme des opportunités afin de mettre sur pied des initiatives entrepreneuriales innovantes. Ces dernières ne doivent pas nécessairement mener à la création de sa propre entreprise (entreprene</w:t>
            </w:r>
            <w:r>
              <w:rPr>
                <w:rFonts w:ascii="Century Gothic" w:hAnsi="Century Gothic"/>
                <w:sz w:val="16"/>
              </w:rPr>
              <w:t>u</w:t>
            </w:r>
            <w:r>
              <w:rPr>
                <w:rFonts w:ascii="Century Gothic" w:hAnsi="Century Gothic"/>
                <w:sz w:val="16"/>
              </w:rPr>
              <w:t>riat), mais peuvent être mises en œuvre au sein d’entreprises existantes (</w:t>
            </w:r>
            <w:proofErr w:type="spellStart"/>
            <w:r>
              <w:rPr>
                <w:rFonts w:ascii="Century Gothic" w:hAnsi="Century Gothic"/>
                <w:sz w:val="16"/>
              </w:rPr>
              <w:t>intrapreneuriat</w:t>
            </w:r>
            <w:proofErr w:type="spellEnd"/>
            <w:r>
              <w:rPr>
                <w:rFonts w:ascii="Century Gothic" w:hAnsi="Century Gothic"/>
                <w:sz w:val="16"/>
              </w:rPr>
              <w:t>).</w:t>
            </w:r>
          </w:p>
        </w:tc>
      </w:tr>
      <w:tr w:rsidR="001B2C92" w:rsidRPr="00F31845" w14:paraId="3DAC5DF3" w14:textId="77777777" w:rsidTr="00904C72">
        <w:tc>
          <w:tcPr>
            <w:tcW w:w="4536" w:type="dxa"/>
          </w:tcPr>
          <w:p w14:paraId="32134733" w14:textId="780B51AB" w:rsidR="001B2C92" w:rsidRPr="00F31845" w:rsidRDefault="00EA1B2B" w:rsidP="00904C72">
            <w:pPr>
              <w:spacing w:before="200" w:after="200"/>
              <w:ind w:left="34"/>
            </w:pPr>
            <w:r w:rsidRPr="00EA1B2B">
              <w:drawing>
                <wp:inline distT="0" distB="0" distL="0" distR="0" wp14:anchorId="65491603" wp14:editId="08B51A2E">
                  <wp:extent cx="2743200" cy="1547461"/>
                  <wp:effectExtent l="19050" t="19050" r="19050" b="152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7283" cy="1549765"/>
                          </a:xfrm>
                          <a:prstGeom prst="rect">
                            <a:avLst/>
                          </a:prstGeom>
                          <a:ln>
                            <a:solidFill>
                              <a:schemeClr val="tx1"/>
                            </a:solidFill>
                          </a:ln>
                        </pic:spPr>
                      </pic:pic>
                    </a:graphicData>
                  </a:graphic>
                </wp:inline>
              </w:drawing>
            </w:r>
          </w:p>
        </w:tc>
        <w:tc>
          <w:tcPr>
            <w:tcW w:w="4820" w:type="dxa"/>
          </w:tcPr>
          <w:p w14:paraId="289F5009"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Si l’on s’intéresse aux domaines d’activité dans lesquels les nouvelles entreprises suisses ont été fondées, il apparaît clairement que nombre d’entre elles appartiennent au secteur des services. En raison de la digitalisation croi</w:t>
            </w:r>
            <w:r>
              <w:rPr>
                <w:rFonts w:ascii="Century Gothic" w:hAnsi="Century Gothic"/>
                <w:sz w:val="16"/>
              </w:rPr>
              <w:t>s</w:t>
            </w:r>
            <w:r>
              <w:rPr>
                <w:rFonts w:ascii="Century Gothic" w:hAnsi="Century Gothic"/>
                <w:sz w:val="16"/>
              </w:rPr>
              <w:t>sante, il est probable que de plus en plus d’entreprises informatiques soient créées à l’avenir.</w:t>
            </w:r>
          </w:p>
          <w:p w14:paraId="02CE4150"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Par rapport à une start-up dans l’industrie, une start-up dans le secteur tertiaire aura souvent besoin de moins de ressources financières au début, dans la mesure où il n’y a pas de machines onéreuses à acheter ni d’autres investi</w:t>
            </w:r>
            <w:r>
              <w:rPr>
                <w:rFonts w:ascii="Century Gothic" w:hAnsi="Century Gothic"/>
                <w:sz w:val="16"/>
              </w:rPr>
              <w:t>s</w:t>
            </w:r>
            <w:r>
              <w:rPr>
                <w:rFonts w:ascii="Century Gothic" w:hAnsi="Century Gothic"/>
                <w:sz w:val="16"/>
              </w:rPr>
              <w:t>sements coûteux à réaliser.</w:t>
            </w:r>
          </w:p>
        </w:tc>
      </w:tr>
      <w:tr w:rsidR="001B2C92" w:rsidRPr="00F31845" w14:paraId="1D7B5C9C" w14:textId="77777777" w:rsidTr="00904C72">
        <w:tc>
          <w:tcPr>
            <w:tcW w:w="4536" w:type="dxa"/>
          </w:tcPr>
          <w:p w14:paraId="189CFC7D" w14:textId="6EA31321" w:rsidR="001B2C92" w:rsidRPr="00F31845" w:rsidRDefault="00EA1B2B" w:rsidP="00904C72">
            <w:pPr>
              <w:spacing w:before="200" w:after="200"/>
              <w:ind w:left="34"/>
            </w:pPr>
            <w:r w:rsidRPr="00EA1B2B">
              <w:drawing>
                <wp:inline distT="0" distB="0" distL="0" distR="0" wp14:anchorId="0121C50A" wp14:editId="58720D5E">
                  <wp:extent cx="2752858" cy="1544129"/>
                  <wp:effectExtent l="19050" t="19050" r="9525" b="184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498" cy="1545610"/>
                          </a:xfrm>
                          <a:prstGeom prst="rect">
                            <a:avLst/>
                          </a:prstGeom>
                          <a:ln>
                            <a:solidFill>
                              <a:schemeClr val="tx1"/>
                            </a:solidFill>
                          </a:ln>
                        </pic:spPr>
                      </pic:pic>
                    </a:graphicData>
                  </a:graphic>
                </wp:inline>
              </w:drawing>
            </w:r>
          </w:p>
        </w:tc>
        <w:tc>
          <w:tcPr>
            <w:tcW w:w="4820" w:type="dxa"/>
          </w:tcPr>
          <w:p w14:paraId="598EFD4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Il existe plusieurs études et projets de recherche comp</w:t>
            </w:r>
            <w:r>
              <w:rPr>
                <w:rFonts w:ascii="Century Gothic" w:hAnsi="Century Gothic"/>
                <w:sz w:val="16"/>
              </w:rPr>
              <w:t>a</w:t>
            </w:r>
            <w:r>
              <w:rPr>
                <w:rFonts w:ascii="Century Gothic" w:hAnsi="Century Gothic"/>
                <w:sz w:val="16"/>
              </w:rPr>
              <w:t>rant différents pays à l’aune de leurs activités entreprene</w:t>
            </w:r>
            <w:r>
              <w:rPr>
                <w:rFonts w:ascii="Century Gothic" w:hAnsi="Century Gothic"/>
                <w:sz w:val="16"/>
              </w:rPr>
              <w:t>u</w:t>
            </w:r>
            <w:r>
              <w:rPr>
                <w:rFonts w:ascii="Century Gothic" w:hAnsi="Century Gothic"/>
                <w:sz w:val="16"/>
              </w:rPr>
              <w:t xml:space="preserve">riales. Le projet le plus connu est le Global </w:t>
            </w:r>
            <w:proofErr w:type="spellStart"/>
            <w:r>
              <w:rPr>
                <w:rFonts w:ascii="Century Gothic" w:hAnsi="Century Gothic"/>
                <w:sz w:val="16"/>
              </w:rPr>
              <w:t>Entrepreneurship</w:t>
            </w:r>
            <w:proofErr w:type="spellEnd"/>
            <w:r>
              <w:rPr>
                <w:rFonts w:ascii="Century Gothic" w:hAnsi="Century Gothic"/>
                <w:sz w:val="16"/>
              </w:rPr>
              <w:t xml:space="preserve"> Monitor du </w:t>
            </w:r>
            <w:proofErr w:type="spellStart"/>
            <w:r>
              <w:rPr>
                <w:rFonts w:ascii="Century Gothic" w:hAnsi="Century Gothic"/>
                <w:sz w:val="16"/>
              </w:rPr>
              <w:t>Babson</w:t>
            </w:r>
            <w:proofErr w:type="spellEnd"/>
            <w:r>
              <w:rPr>
                <w:rFonts w:ascii="Century Gothic" w:hAnsi="Century Gothic"/>
                <w:sz w:val="16"/>
              </w:rPr>
              <w:t xml:space="preserve"> </w:t>
            </w:r>
            <w:proofErr w:type="spellStart"/>
            <w:r>
              <w:rPr>
                <w:rFonts w:ascii="Century Gothic" w:hAnsi="Century Gothic"/>
                <w:sz w:val="16"/>
              </w:rPr>
              <w:t>College</w:t>
            </w:r>
            <w:proofErr w:type="spellEnd"/>
            <w:r>
              <w:rPr>
                <w:rFonts w:ascii="Century Gothic" w:hAnsi="Century Gothic"/>
                <w:sz w:val="16"/>
              </w:rPr>
              <w:t xml:space="preserve"> et de la London Business </w:t>
            </w:r>
            <w:proofErr w:type="spellStart"/>
            <w:r>
              <w:rPr>
                <w:rFonts w:ascii="Century Gothic" w:hAnsi="Century Gothic"/>
                <w:sz w:val="16"/>
              </w:rPr>
              <w:t>School</w:t>
            </w:r>
            <w:proofErr w:type="spellEnd"/>
            <w:r>
              <w:rPr>
                <w:rFonts w:ascii="Century Gothic" w:hAnsi="Century Gothic"/>
                <w:sz w:val="16"/>
              </w:rPr>
              <w:t xml:space="preserve">. Tous les ans, la Haute école de </w:t>
            </w:r>
            <w:commentRangeStart w:id="0"/>
            <w:r>
              <w:rPr>
                <w:rFonts w:ascii="Century Gothic" w:hAnsi="Century Gothic"/>
                <w:sz w:val="16"/>
              </w:rPr>
              <w:t xml:space="preserve">gestion </w:t>
            </w:r>
            <w:commentRangeEnd w:id="0"/>
            <w:r>
              <w:rPr>
                <w:rStyle w:val="Marquedecommentaire"/>
              </w:rPr>
              <w:commentReference w:id="0"/>
            </w:r>
            <w:r>
              <w:rPr>
                <w:rFonts w:ascii="Century Gothic" w:hAnsi="Century Gothic"/>
                <w:sz w:val="16"/>
              </w:rPr>
              <w:t>Fribourg publie un rapport sur l’entrepreneuriat en Suisse.</w:t>
            </w:r>
          </w:p>
          <w:p w14:paraId="5D97A3FF" w14:textId="02FAE9EB"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Avec un taux de création de 9,8 % (taux de Total </w:t>
            </w:r>
            <w:proofErr w:type="spellStart"/>
            <w:r>
              <w:rPr>
                <w:rFonts w:ascii="Century Gothic" w:hAnsi="Century Gothic"/>
                <w:sz w:val="16"/>
              </w:rPr>
              <w:t>early</w:t>
            </w:r>
            <w:proofErr w:type="spellEnd"/>
            <w:r>
              <w:rPr>
                <w:rFonts w:ascii="Century Gothic" w:hAnsi="Century Gothic"/>
                <w:sz w:val="16"/>
              </w:rPr>
              <w:t>-stage Entrepreneurial Activity), la Suisse se situe en deçà de la moyenne des économies similaires qui est de 12,3 %. Ce n’est pas nécessairement un signal négatif…</w:t>
            </w:r>
          </w:p>
        </w:tc>
      </w:tr>
      <w:tr w:rsidR="001B2C92" w:rsidRPr="00F31845" w14:paraId="3528FD5B" w14:textId="77777777" w:rsidTr="00904C72">
        <w:tc>
          <w:tcPr>
            <w:tcW w:w="4536" w:type="dxa"/>
          </w:tcPr>
          <w:p w14:paraId="209C8086" w14:textId="59566880"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62F3DE20" wp14:editId="77062D29">
                  <wp:extent cx="2734573" cy="1534163"/>
                  <wp:effectExtent l="19050" t="19050" r="2794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2150" cy="1532804"/>
                          </a:xfrm>
                          <a:prstGeom prst="rect">
                            <a:avLst/>
                          </a:prstGeom>
                          <a:ln>
                            <a:solidFill>
                              <a:schemeClr val="tx1"/>
                            </a:solidFill>
                          </a:ln>
                        </pic:spPr>
                      </pic:pic>
                    </a:graphicData>
                  </a:graphic>
                </wp:inline>
              </w:drawing>
            </w:r>
          </w:p>
        </w:tc>
        <w:tc>
          <w:tcPr>
            <w:tcW w:w="4820" w:type="dxa"/>
          </w:tcPr>
          <w:p w14:paraId="2EFB62D5" w14:textId="6EEC9218"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 car les conditions-cadres en Suisse sont excellentes pour les activités entrepreneuriales. Le Global </w:t>
            </w:r>
            <w:proofErr w:type="spellStart"/>
            <w:r>
              <w:rPr>
                <w:rFonts w:ascii="Century Gothic" w:hAnsi="Century Gothic"/>
                <w:sz w:val="16"/>
              </w:rPr>
              <w:t>Entrepreneurship</w:t>
            </w:r>
            <w:proofErr w:type="spellEnd"/>
            <w:r>
              <w:rPr>
                <w:rFonts w:ascii="Century Gothic" w:hAnsi="Century Gothic"/>
                <w:sz w:val="16"/>
              </w:rPr>
              <w:t xml:space="preserve"> Monitor susmentionné souligne d’ailleurs cet aspect.</w:t>
            </w:r>
          </w:p>
          <w:p w14:paraId="7D0B4A29"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On constate en effet que le chômage en Suisse est relat</w:t>
            </w:r>
            <w:r>
              <w:rPr>
                <w:rFonts w:ascii="Century Gothic" w:hAnsi="Century Gothic"/>
                <w:sz w:val="16"/>
              </w:rPr>
              <w:t>i</w:t>
            </w:r>
            <w:r>
              <w:rPr>
                <w:rFonts w:ascii="Century Gothic" w:hAnsi="Century Gothic"/>
                <w:sz w:val="16"/>
              </w:rPr>
              <w:t>vement faible, le revenu par tête y est relativement élevé et son économie est particulièrement axée sur l’innovation. Ainsi, il n’y a que peu d’entrepreneuriat de nécessité comme cela peut être le cas dans certains pays qui ont une forte pauvreté. En Suisse, on crée davantage des entreprises basées sur l’innovation et contribuant substa</w:t>
            </w:r>
            <w:r>
              <w:rPr>
                <w:rFonts w:ascii="Century Gothic" w:hAnsi="Century Gothic"/>
                <w:sz w:val="16"/>
              </w:rPr>
              <w:t>n</w:t>
            </w:r>
            <w:r>
              <w:rPr>
                <w:rFonts w:ascii="Century Gothic" w:hAnsi="Century Gothic"/>
                <w:sz w:val="16"/>
              </w:rPr>
              <w:t>tiellement à la prospérité de l’économie locale.</w:t>
            </w:r>
          </w:p>
        </w:tc>
      </w:tr>
      <w:tr w:rsidR="001B2C92" w:rsidRPr="00F31845" w14:paraId="75ED26D7" w14:textId="77777777" w:rsidTr="00904C72">
        <w:tc>
          <w:tcPr>
            <w:tcW w:w="4536" w:type="dxa"/>
          </w:tcPr>
          <w:p w14:paraId="008C6CA5" w14:textId="1921974C" w:rsidR="001B2C92" w:rsidRPr="00F31845" w:rsidRDefault="00EA1B2B" w:rsidP="00904C72">
            <w:pPr>
              <w:spacing w:before="200" w:after="200"/>
              <w:ind w:left="34"/>
              <w:rPr>
                <w:rFonts w:eastAsia="Arial Unicode MS"/>
              </w:rPr>
            </w:pPr>
            <w:r w:rsidRPr="00EA1B2B">
              <w:rPr>
                <w:rFonts w:eastAsia="Arial Unicode MS"/>
              </w:rPr>
              <w:lastRenderedPageBreak/>
              <w:drawing>
                <wp:inline distT="0" distB="0" distL="0" distR="0" wp14:anchorId="38B60B09" wp14:editId="71B57FD3">
                  <wp:extent cx="2734573" cy="1542595"/>
                  <wp:effectExtent l="19050" t="19050" r="27940" b="196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38644" cy="1544892"/>
                          </a:xfrm>
                          <a:prstGeom prst="rect">
                            <a:avLst/>
                          </a:prstGeom>
                          <a:ln>
                            <a:solidFill>
                              <a:schemeClr val="tx1"/>
                            </a:solidFill>
                          </a:ln>
                        </pic:spPr>
                      </pic:pic>
                    </a:graphicData>
                  </a:graphic>
                </wp:inline>
              </w:drawing>
            </w:r>
          </w:p>
        </w:tc>
        <w:tc>
          <w:tcPr>
            <w:tcW w:w="4820" w:type="dxa"/>
          </w:tcPr>
          <w:p w14:paraId="2630AE97"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Les écosystèmes entrepreneuriaux décrivent une variété de facteurs et d’acteurs qui exercent une influence directe ou indirecte sur les activités entrepreneuriales d’une région. Ils ne doivent pas être vus comme des éléments distincts mais comme des facteurs interdépendants. Par ailleurs, de tels écosystèmes varient en fonction du contexte géogr</w:t>
            </w:r>
            <w:r>
              <w:rPr>
                <w:rFonts w:ascii="Century Gothic" w:hAnsi="Century Gothic"/>
                <w:sz w:val="16"/>
              </w:rPr>
              <w:t>a</w:t>
            </w:r>
            <w:r>
              <w:rPr>
                <w:rFonts w:ascii="Century Gothic" w:hAnsi="Century Gothic"/>
                <w:sz w:val="16"/>
              </w:rPr>
              <w:t>phique, social, économique, éducatif et politique. Ils sont donc uniques et ne peuvent pas être transposés direct</w:t>
            </w:r>
            <w:r>
              <w:rPr>
                <w:rFonts w:ascii="Century Gothic" w:hAnsi="Century Gothic"/>
                <w:sz w:val="16"/>
              </w:rPr>
              <w:t>e</w:t>
            </w:r>
            <w:r>
              <w:rPr>
                <w:rFonts w:ascii="Century Gothic" w:hAnsi="Century Gothic"/>
                <w:sz w:val="16"/>
              </w:rPr>
              <w:t>ment d’une région à l’autre.</w:t>
            </w:r>
          </w:p>
          <w:p w14:paraId="34A6969F"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Daniel </w:t>
            </w:r>
            <w:proofErr w:type="spellStart"/>
            <w:r>
              <w:rPr>
                <w:rFonts w:ascii="Century Gothic" w:hAnsi="Century Gothic"/>
                <w:sz w:val="16"/>
              </w:rPr>
              <w:t>Isenberg</w:t>
            </w:r>
            <w:proofErr w:type="spellEnd"/>
            <w:r>
              <w:rPr>
                <w:rFonts w:ascii="Century Gothic" w:hAnsi="Century Gothic"/>
                <w:sz w:val="16"/>
              </w:rPr>
              <w:t xml:space="preserve">, professeur au </w:t>
            </w:r>
            <w:proofErr w:type="spellStart"/>
            <w:r>
              <w:rPr>
                <w:rFonts w:ascii="Century Gothic" w:hAnsi="Century Gothic"/>
                <w:sz w:val="16"/>
              </w:rPr>
              <w:t>Babson</w:t>
            </w:r>
            <w:proofErr w:type="spellEnd"/>
            <w:r>
              <w:rPr>
                <w:rFonts w:ascii="Century Gothic" w:hAnsi="Century Gothic"/>
                <w:sz w:val="16"/>
              </w:rPr>
              <w:t xml:space="preserve"> </w:t>
            </w:r>
            <w:proofErr w:type="spellStart"/>
            <w:r>
              <w:rPr>
                <w:rFonts w:ascii="Century Gothic" w:hAnsi="Century Gothic"/>
                <w:sz w:val="16"/>
              </w:rPr>
              <w:t>College</w:t>
            </w:r>
            <w:proofErr w:type="spellEnd"/>
            <w:r>
              <w:rPr>
                <w:rFonts w:ascii="Century Gothic" w:hAnsi="Century Gothic"/>
                <w:sz w:val="16"/>
              </w:rPr>
              <w:t xml:space="preserve"> (États-Unis), est un spécialiste reconnu des écosystèmes entreprene</w:t>
            </w:r>
            <w:r>
              <w:rPr>
                <w:rFonts w:ascii="Century Gothic" w:hAnsi="Century Gothic"/>
                <w:sz w:val="16"/>
              </w:rPr>
              <w:t>u</w:t>
            </w:r>
            <w:r>
              <w:rPr>
                <w:rFonts w:ascii="Century Gothic" w:hAnsi="Century Gothic"/>
                <w:sz w:val="16"/>
              </w:rPr>
              <w:t>riaux. Il a regroupé en six catégories les innombrables fa</w:t>
            </w:r>
            <w:r>
              <w:rPr>
                <w:rFonts w:ascii="Century Gothic" w:hAnsi="Century Gothic"/>
                <w:sz w:val="16"/>
              </w:rPr>
              <w:t>c</w:t>
            </w:r>
            <w:r>
              <w:rPr>
                <w:rFonts w:ascii="Century Gothic" w:hAnsi="Century Gothic"/>
                <w:sz w:val="16"/>
              </w:rPr>
              <w:t xml:space="preserve">teurs d’un écosystème entrepreneurial: politique, finances, culture, capital humain, prestations de soutien et marchés. </w:t>
            </w:r>
          </w:p>
        </w:tc>
      </w:tr>
      <w:tr w:rsidR="001B2C92" w:rsidRPr="00F31845" w14:paraId="04441055" w14:textId="77777777" w:rsidTr="00904C72">
        <w:tc>
          <w:tcPr>
            <w:tcW w:w="4536" w:type="dxa"/>
          </w:tcPr>
          <w:p w14:paraId="25F7FCD5" w14:textId="26FE1E0F"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7DD3E728" wp14:editId="7E4B64BC">
                  <wp:extent cx="2734573" cy="1533873"/>
                  <wp:effectExtent l="19050" t="19050" r="27940" b="285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7196" cy="1535345"/>
                          </a:xfrm>
                          <a:prstGeom prst="rect">
                            <a:avLst/>
                          </a:prstGeom>
                          <a:ln>
                            <a:solidFill>
                              <a:schemeClr val="tx1"/>
                            </a:solidFill>
                          </a:ln>
                        </pic:spPr>
                      </pic:pic>
                    </a:graphicData>
                  </a:graphic>
                </wp:inline>
              </w:drawing>
            </w:r>
          </w:p>
        </w:tc>
        <w:tc>
          <w:tcPr>
            <w:tcW w:w="4820" w:type="dxa"/>
          </w:tcPr>
          <w:p w14:paraId="35AB36D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Le Global </w:t>
            </w:r>
            <w:proofErr w:type="spellStart"/>
            <w:r>
              <w:rPr>
                <w:rFonts w:ascii="Century Gothic" w:hAnsi="Century Gothic"/>
                <w:sz w:val="16"/>
              </w:rPr>
              <w:t>Entrepreneurship</w:t>
            </w:r>
            <w:proofErr w:type="spellEnd"/>
            <w:r>
              <w:rPr>
                <w:rFonts w:ascii="Century Gothic" w:hAnsi="Century Gothic"/>
                <w:sz w:val="16"/>
              </w:rPr>
              <w:t xml:space="preserve"> Monitor comprend également l’évaluation d’expert-e-s au prisme de l’écosystème entr</w:t>
            </w:r>
            <w:r>
              <w:rPr>
                <w:rFonts w:ascii="Century Gothic" w:hAnsi="Century Gothic"/>
                <w:sz w:val="16"/>
              </w:rPr>
              <w:t>e</w:t>
            </w:r>
            <w:r>
              <w:rPr>
                <w:rFonts w:ascii="Century Gothic" w:hAnsi="Century Gothic"/>
                <w:sz w:val="16"/>
              </w:rPr>
              <w:t>preneurial. Les résultats montrent que la Suisse est extr</w:t>
            </w:r>
            <w:r>
              <w:rPr>
                <w:rFonts w:ascii="Century Gothic" w:hAnsi="Century Gothic"/>
                <w:sz w:val="16"/>
              </w:rPr>
              <w:t>ê</w:t>
            </w:r>
            <w:r>
              <w:rPr>
                <w:rFonts w:ascii="Century Gothic" w:hAnsi="Century Gothic"/>
                <w:sz w:val="16"/>
              </w:rPr>
              <w:t>mement bien classée dans presque toutes les catégories. Elle se situe en dessous de la moyenne des pays partic</w:t>
            </w:r>
            <w:r>
              <w:rPr>
                <w:rFonts w:ascii="Century Gothic" w:hAnsi="Century Gothic"/>
                <w:sz w:val="16"/>
              </w:rPr>
              <w:t>i</w:t>
            </w:r>
            <w:r>
              <w:rPr>
                <w:rFonts w:ascii="Century Gothic" w:hAnsi="Century Gothic"/>
                <w:sz w:val="16"/>
              </w:rPr>
              <w:t>pant au GEM uniquement dans le domaine «</w:t>
            </w:r>
            <w:proofErr w:type="spellStart"/>
            <w:r>
              <w:rPr>
                <w:rFonts w:ascii="Century Gothic" w:hAnsi="Century Gothic"/>
                <w:sz w:val="16"/>
              </w:rPr>
              <w:t>Internal</w:t>
            </w:r>
            <w:proofErr w:type="spellEnd"/>
            <w:r>
              <w:rPr>
                <w:rFonts w:ascii="Century Gothic" w:hAnsi="Century Gothic"/>
                <w:sz w:val="16"/>
              </w:rPr>
              <w:t xml:space="preserve"> </w:t>
            </w:r>
            <w:proofErr w:type="spellStart"/>
            <w:r>
              <w:rPr>
                <w:rFonts w:ascii="Century Gothic" w:hAnsi="Century Gothic"/>
                <w:sz w:val="16"/>
              </w:rPr>
              <w:t>Ma</w:t>
            </w:r>
            <w:r>
              <w:rPr>
                <w:rFonts w:ascii="Century Gothic" w:hAnsi="Century Gothic"/>
                <w:sz w:val="16"/>
              </w:rPr>
              <w:t>r</w:t>
            </w:r>
            <w:r>
              <w:rPr>
                <w:rFonts w:ascii="Century Gothic" w:hAnsi="Century Gothic"/>
                <w:sz w:val="16"/>
              </w:rPr>
              <w:t>ket</w:t>
            </w:r>
            <w:proofErr w:type="spellEnd"/>
            <w:r>
              <w:rPr>
                <w:rFonts w:ascii="Century Gothic" w:hAnsi="Century Gothic"/>
                <w:sz w:val="16"/>
              </w:rPr>
              <w:t xml:space="preserve"> Dynamics».</w:t>
            </w:r>
          </w:p>
          <w:p w14:paraId="0463D08B" w14:textId="7D7F0E36"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En ce qui concerne l’évaluation de l’éducation à l’entrepreneuriat, notons la différence entre le niveau scolaire (4,63 sur 10) et le niveau supérieur (6,33 sur 10). Le programme </w:t>
            </w:r>
            <w:proofErr w:type="spellStart"/>
            <w:r>
              <w:rPr>
                <w:rFonts w:ascii="Century Gothic" w:hAnsi="Century Gothic"/>
                <w:sz w:val="16"/>
              </w:rPr>
              <w:t>myidea</w:t>
            </w:r>
            <w:proofErr w:type="spellEnd"/>
            <w:r>
              <w:rPr>
                <w:rFonts w:ascii="Century Gothic" w:hAnsi="Century Gothic"/>
                <w:sz w:val="16"/>
              </w:rPr>
              <w:t xml:space="preserve"> peut donc contribuer à atténuer cette différence.</w:t>
            </w:r>
          </w:p>
        </w:tc>
      </w:tr>
      <w:tr w:rsidR="001B2C92" w:rsidRPr="00F31845" w14:paraId="400C1FCF" w14:textId="77777777" w:rsidTr="00904C72">
        <w:tc>
          <w:tcPr>
            <w:tcW w:w="4536" w:type="dxa"/>
          </w:tcPr>
          <w:p w14:paraId="42334A52" w14:textId="53DA3A54"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75FC7F5B" wp14:editId="187EE649">
                  <wp:extent cx="2734573" cy="1537652"/>
                  <wp:effectExtent l="19050" t="19050" r="27940" b="247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6887" cy="1538953"/>
                          </a:xfrm>
                          <a:prstGeom prst="rect">
                            <a:avLst/>
                          </a:prstGeom>
                          <a:ln>
                            <a:solidFill>
                              <a:schemeClr val="tx1"/>
                            </a:solidFill>
                          </a:ln>
                        </pic:spPr>
                      </pic:pic>
                    </a:graphicData>
                  </a:graphic>
                </wp:inline>
              </w:drawing>
            </w:r>
          </w:p>
        </w:tc>
        <w:tc>
          <w:tcPr>
            <w:tcW w:w="4820" w:type="dxa"/>
          </w:tcPr>
          <w:p w14:paraId="44B7038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La thématique de l’entrepreneuriat est empreinte de st</w:t>
            </w:r>
            <w:r>
              <w:rPr>
                <w:rFonts w:ascii="Century Gothic" w:hAnsi="Century Gothic"/>
                <w:sz w:val="16"/>
              </w:rPr>
              <w:t>é</w:t>
            </w:r>
            <w:r>
              <w:rPr>
                <w:rFonts w:ascii="Century Gothic" w:hAnsi="Century Gothic"/>
                <w:sz w:val="16"/>
              </w:rPr>
              <w:t xml:space="preserve">réotypes et de modèles masculins. Les créateurs d’entreprises masculins tels que Bill Gates (Microsoft), Mark Zuckerberg (Facebook), Jeff </w:t>
            </w:r>
            <w:proofErr w:type="spellStart"/>
            <w:r>
              <w:rPr>
                <w:rFonts w:ascii="Century Gothic" w:hAnsi="Century Gothic"/>
                <w:sz w:val="16"/>
              </w:rPr>
              <w:t>Bezos</w:t>
            </w:r>
            <w:proofErr w:type="spellEnd"/>
            <w:r>
              <w:rPr>
                <w:rFonts w:ascii="Century Gothic" w:hAnsi="Century Gothic"/>
                <w:sz w:val="16"/>
              </w:rPr>
              <w:t xml:space="preserve"> (Amazon), </w:t>
            </w:r>
            <w:proofErr w:type="spellStart"/>
            <w:r>
              <w:rPr>
                <w:rFonts w:ascii="Century Gothic" w:hAnsi="Century Gothic"/>
                <w:sz w:val="16"/>
              </w:rPr>
              <w:t>Elon</w:t>
            </w:r>
            <w:proofErr w:type="spellEnd"/>
            <w:r>
              <w:rPr>
                <w:rFonts w:ascii="Century Gothic" w:hAnsi="Century Gothic"/>
                <w:sz w:val="16"/>
              </w:rPr>
              <w:t xml:space="preserve"> </w:t>
            </w:r>
            <w:proofErr w:type="spellStart"/>
            <w:r>
              <w:rPr>
                <w:rFonts w:ascii="Century Gothic" w:hAnsi="Century Gothic"/>
                <w:sz w:val="16"/>
              </w:rPr>
              <w:t>Musk</w:t>
            </w:r>
            <w:proofErr w:type="spellEnd"/>
            <w:r>
              <w:rPr>
                <w:rFonts w:ascii="Century Gothic" w:hAnsi="Century Gothic"/>
                <w:sz w:val="16"/>
              </w:rPr>
              <w:t xml:space="preserve"> (Tesla, </w:t>
            </w:r>
            <w:proofErr w:type="spellStart"/>
            <w:r>
              <w:rPr>
                <w:rFonts w:ascii="Century Gothic" w:hAnsi="Century Gothic"/>
                <w:sz w:val="16"/>
              </w:rPr>
              <w:t>SpaceX</w:t>
            </w:r>
            <w:proofErr w:type="spellEnd"/>
            <w:r>
              <w:rPr>
                <w:rFonts w:ascii="Century Gothic" w:hAnsi="Century Gothic"/>
                <w:sz w:val="16"/>
              </w:rPr>
              <w:t>), Steve Jobs (Apple) et Larry Page (Google) dominent les reportages dans les médias.</w:t>
            </w:r>
          </w:p>
          <w:p w14:paraId="3C0F46C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Il est capital d’offrir des représentations féminines pour présenter l’entrepreneuriat comme une option de carrière attractive pour les femmes. </w:t>
            </w:r>
          </w:p>
          <w:p w14:paraId="7D805A10" w14:textId="0E511E76"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Les modèles positifs de fondatrices d’entreprises peuvent aider les femmes à avoir plus confiance en leurs comp</w:t>
            </w:r>
            <w:r>
              <w:rPr>
                <w:rFonts w:ascii="Century Gothic" w:hAnsi="Century Gothic"/>
                <w:sz w:val="16"/>
              </w:rPr>
              <w:t>é</w:t>
            </w:r>
            <w:r>
              <w:rPr>
                <w:rFonts w:ascii="Century Gothic" w:hAnsi="Century Gothic"/>
                <w:sz w:val="16"/>
              </w:rPr>
              <w:t>tences entrepreneuriales. C’est précisément cette co</w:t>
            </w:r>
            <w:r>
              <w:rPr>
                <w:rFonts w:ascii="Century Gothic" w:hAnsi="Century Gothic"/>
                <w:sz w:val="16"/>
              </w:rPr>
              <w:t>n</w:t>
            </w:r>
            <w:r>
              <w:rPr>
                <w:rFonts w:ascii="Century Gothic" w:hAnsi="Century Gothic"/>
                <w:sz w:val="16"/>
              </w:rPr>
              <w:t xml:space="preserve">fiance qui manque en Suisse: d’après le Global </w:t>
            </w:r>
            <w:proofErr w:type="spellStart"/>
            <w:r>
              <w:rPr>
                <w:rFonts w:ascii="Century Gothic" w:hAnsi="Century Gothic"/>
                <w:sz w:val="16"/>
              </w:rPr>
              <w:t>Entrepr</w:t>
            </w:r>
            <w:r>
              <w:rPr>
                <w:rFonts w:ascii="Century Gothic" w:hAnsi="Century Gothic"/>
                <w:sz w:val="16"/>
              </w:rPr>
              <w:t>e</w:t>
            </w:r>
            <w:r>
              <w:rPr>
                <w:rFonts w:ascii="Century Gothic" w:hAnsi="Century Gothic"/>
                <w:sz w:val="16"/>
              </w:rPr>
              <w:t>neurship</w:t>
            </w:r>
            <w:proofErr w:type="spellEnd"/>
            <w:r>
              <w:rPr>
                <w:rFonts w:ascii="Century Gothic" w:hAnsi="Century Gothic"/>
                <w:sz w:val="16"/>
              </w:rPr>
              <w:t xml:space="preserve"> Monitor, seuls 37,9 % des femmes pensent avoir les compétences nécessaires pour fonder une entreprise. Chez les hommes, ce pourcentage s’élève à 60 %.</w:t>
            </w:r>
          </w:p>
        </w:tc>
      </w:tr>
      <w:tr w:rsidR="001B2C92" w:rsidRPr="00F31845" w14:paraId="5F01548A" w14:textId="77777777" w:rsidTr="00904C72">
        <w:tc>
          <w:tcPr>
            <w:tcW w:w="4536" w:type="dxa"/>
          </w:tcPr>
          <w:p w14:paraId="2C2D15C0" w14:textId="517168E0" w:rsidR="001B2C92" w:rsidRPr="00F31845" w:rsidRDefault="00EA1B2B" w:rsidP="00904C72">
            <w:pPr>
              <w:spacing w:before="200" w:after="200"/>
              <w:ind w:left="34"/>
              <w:rPr>
                <w:rFonts w:eastAsia="Arial Unicode MS"/>
              </w:rPr>
            </w:pPr>
            <w:r w:rsidRPr="00EA1B2B">
              <w:rPr>
                <w:rFonts w:eastAsia="Arial Unicode MS"/>
              </w:rPr>
              <w:drawing>
                <wp:inline distT="0" distB="0" distL="0" distR="0" wp14:anchorId="06D135D7" wp14:editId="3D991F65">
                  <wp:extent cx="2734573" cy="1536199"/>
                  <wp:effectExtent l="19050" t="19050" r="27940" b="260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34300" cy="1536046"/>
                          </a:xfrm>
                          <a:prstGeom prst="rect">
                            <a:avLst/>
                          </a:prstGeom>
                          <a:ln>
                            <a:solidFill>
                              <a:schemeClr val="tx1"/>
                            </a:solidFill>
                          </a:ln>
                        </pic:spPr>
                      </pic:pic>
                    </a:graphicData>
                  </a:graphic>
                </wp:inline>
              </w:drawing>
            </w:r>
          </w:p>
        </w:tc>
        <w:tc>
          <w:tcPr>
            <w:tcW w:w="4820" w:type="dxa"/>
          </w:tcPr>
          <w:p w14:paraId="58A84083" w14:textId="1B115B30"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Nous recommandons donc aux enseignant-e-s d’inclure des exemples de fondatrices dans le cadre de </w:t>
            </w:r>
            <w:proofErr w:type="spellStart"/>
            <w:r>
              <w:rPr>
                <w:rFonts w:ascii="Century Gothic" w:hAnsi="Century Gothic"/>
                <w:sz w:val="16"/>
              </w:rPr>
              <w:t>myidea</w:t>
            </w:r>
            <w:proofErr w:type="spellEnd"/>
            <w:r>
              <w:rPr>
                <w:rFonts w:ascii="Century Gothic" w:hAnsi="Century Gothic"/>
                <w:sz w:val="16"/>
              </w:rPr>
              <w:t>, par exemple en invitant une fondatrice au cours.</w:t>
            </w:r>
          </w:p>
          <w:p w14:paraId="49BFD2A8" w14:textId="2B56A898"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Les exemples cités montrent qu’il y a suffisamment de modèles d’entrepreneuses, non seulement à l’international mais aussi en Suisse. Ces entrepreneuses sont issues de branches très variées.</w:t>
            </w:r>
          </w:p>
        </w:tc>
      </w:tr>
      <w:tr w:rsidR="001B2C92" w:rsidRPr="00F31845" w14:paraId="75CA61E3" w14:textId="77777777" w:rsidTr="00904C72">
        <w:tc>
          <w:tcPr>
            <w:tcW w:w="4536" w:type="dxa"/>
          </w:tcPr>
          <w:p w14:paraId="51152659" w14:textId="102239FA" w:rsidR="001B2C92" w:rsidRPr="00F31845" w:rsidRDefault="009B5F16" w:rsidP="00904C72">
            <w:pPr>
              <w:spacing w:before="200" w:after="200"/>
              <w:ind w:left="34"/>
              <w:rPr>
                <w:rFonts w:eastAsia="Arial Unicode MS"/>
              </w:rPr>
            </w:pPr>
            <w:r w:rsidRPr="009B5F16">
              <w:rPr>
                <w:rFonts w:eastAsia="Arial Unicode MS"/>
              </w:rPr>
              <w:lastRenderedPageBreak/>
              <w:drawing>
                <wp:inline distT="0" distB="0" distL="0" distR="0" wp14:anchorId="0C16F255" wp14:editId="208F3DE7">
                  <wp:extent cx="2734573" cy="1539397"/>
                  <wp:effectExtent l="19050" t="19050" r="27940" b="228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32967" cy="1538493"/>
                          </a:xfrm>
                          <a:prstGeom prst="rect">
                            <a:avLst/>
                          </a:prstGeom>
                          <a:ln>
                            <a:solidFill>
                              <a:schemeClr val="tx1"/>
                            </a:solidFill>
                          </a:ln>
                        </pic:spPr>
                      </pic:pic>
                    </a:graphicData>
                  </a:graphic>
                </wp:inline>
              </w:drawing>
            </w:r>
          </w:p>
        </w:tc>
        <w:tc>
          <w:tcPr>
            <w:tcW w:w="4820" w:type="dxa"/>
          </w:tcPr>
          <w:p w14:paraId="336CF39B" w14:textId="77777777" w:rsidR="001B2C92" w:rsidRPr="00F31845" w:rsidRDefault="001B2C92" w:rsidP="00410D6B">
            <w:pPr>
              <w:spacing w:before="120" w:after="40"/>
              <w:rPr>
                <w:rFonts w:ascii="Century Gothic" w:eastAsia="Arial Unicode MS" w:hAnsi="Century Gothic"/>
                <w:bCs/>
                <w:sz w:val="16"/>
                <w:szCs w:val="16"/>
              </w:rPr>
            </w:pPr>
          </w:p>
        </w:tc>
      </w:tr>
      <w:tr w:rsidR="001B2C92" w:rsidRPr="00F31845" w14:paraId="118399CE" w14:textId="77777777" w:rsidTr="00904C72">
        <w:tc>
          <w:tcPr>
            <w:tcW w:w="4536" w:type="dxa"/>
          </w:tcPr>
          <w:p w14:paraId="701A46D6" w14:textId="67A45308" w:rsidR="001B2C92" w:rsidRPr="00F31845" w:rsidRDefault="009B5F16" w:rsidP="00904C72">
            <w:pPr>
              <w:spacing w:before="200" w:after="200"/>
              <w:ind w:left="34"/>
              <w:rPr>
                <w:rFonts w:eastAsia="Arial Unicode MS"/>
              </w:rPr>
            </w:pPr>
            <w:r w:rsidRPr="009B5F16">
              <w:rPr>
                <w:rFonts w:eastAsia="Arial Unicode MS"/>
              </w:rPr>
              <w:drawing>
                <wp:inline distT="0" distB="0" distL="0" distR="0" wp14:anchorId="261247FA" wp14:editId="13C2EF9B">
                  <wp:extent cx="2752334" cy="1544128"/>
                  <wp:effectExtent l="19050" t="19050" r="10160" b="184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9896" cy="1542760"/>
                          </a:xfrm>
                          <a:prstGeom prst="rect">
                            <a:avLst/>
                          </a:prstGeom>
                          <a:ln>
                            <a:solidFill>
                              <a:schemeClr val="tx1"/>
                            </a:solidFill>
                          </a:ln>
                        </pic:spPr>
                      </pic:pic>
                    </a:graphicData>
                  </a:graphic>
                </wp:inline>
              </w:drawing>
            </w:r>
          </w:p>
        </w:tc>
        <w:tc>
          <w:tcPr>
            <w:tcW w:w="4820" w:type="dxa"/>
          </w:tcPr>
          <w:p w14:paraId="4B7CE5AA" w14:textId="25CC4730" w:rsidR="001B2C92" w:rsidRPr="00F31845" w:rsidRDefault="001B2C92" w:rsidP="00410D6B">
            <w:pPr>
              <w:spacing w:before="120" w:after="40"/>
              <w:rPr>
                <w:rFonts w:ascii="Century Gothic" w:eastAsia="Arial Unicode MS" w:hAnsi="Century Gothic"/>
                <w:bCs/>
                <w:sz w:val="16"/>
                <w:szCs w:val="16"/>
              </w:rPr>
            </w:pPr>
            <w:proofErr w:type="spellStart"/>
            <w:r>
              <w:rPr>
                <w:rFonts w:ascii="Century Gothic" w:hAnsi="Century Gothic"/>
                <w:sz w:val="16"/>
              </w:rPr>
              <w:t>myidea</w:t>
            </w:r>
            <w:proofErr w:type="spellEnd"/>
            <w:r>
              <w:rPr>
                <w:rFonts w:ascii="Century Gothic" w:hAnsi="Century Gothic"/>
                <w:sz w:val="16"/>
              </w:rPr>
              <w:t xml:space="preserve"> peut contribuer à réduire le </w:t>
            </w:r>
            <w:proofErr w:type="spellStart"/>
            <w:r>
              <w:rPr>
                <w:rFonts w:ascii="Century Gothic" w:hAnsi="Century Gothic"/>
                <w:i/>
                <w:iCs/>
                <w:sz w:val="16"/>
              </w:rPr>
              <w:t>gender</w:t>
            </w:r>
            <w:proofErr w:type="spellEnd"/>
            <w:r>
              <w:rPr>
                <w:rFonts w:ascii="Century Gothic" w:hAnsi="Century Gothic"/>
                <w:i/>
                <w:iCs/>
                <w:sz w:val="16"/>
              </w:rPr>
              <w:t xml:space="preserve"> gap.</w:t>
            </w:r>
            <w:r>
              <w:rPr>
                <w:rFonts w:ascii="Century Gothic" w:hAnsi="Century Gothic"/>
                <w:sz w:val="16"/>
              </w:rPr>
              <w:t xml:space="preserve"> Actue</w:t>
            </w:r>
            <w:r>
              <w:rPr>
                <w:rFonts w:ascii="Century Gothic" w:hAnsi="Century Gothic"/>
                <w:sz w:val="16"/>
              </w:rPr>
              <w:t>l</w:t>
            </w:r>
            <w:r>
              <w:rPr>
                <w:rFonts w:ascii="Century Gothic" w:hAnsi="Century Gothic"/>
                <w:sz w:val="16"/>
              </w:rPr>
              <w:t>lement, pour une entrepreneuse en Suisse, on compte 1,7 homme. Ce fossé est donc plus grand en Suisse que dans la moyenne des économies similaires basées sur l’innovation (celle-ci s’élève à environ 1,4).</w:t>
            </w:r>
          </w:p>
        </w:tc>
      </w:tr>
      <w:tr w:rsidR="001B2C92" w:rsidRPr="00F31845" w14:paraId="2D412E54" w14:textId="77777777" w:rsidTr="00904C72">
        <w:tc>
          <w:tcPr>
            <w:tcW w:w="4536" w:type="dxa"/>
          </w:tcPr>
          <w:p w14:paraId="00B02EA9" w14:textId="20A0B2EE" w:rsidR="001B2C92" w:rsidRPr="00F31845" w:rsidRDefault="009B5F16" w:rsidP="00904C72">
            <w:pPr>
              <w:spacing w:before="200" w:after="200"/>
              <w:ind w:left="34"/>
              <w:rPr>
                <w:rFonts w:eastAsia="Arial Unicode MS"/>
              </w:rPr>
            </w:pPr>
            <w:r w:rsidRPr="009B5F16">
              <w:rPr>
                <w:rFonts w:eastAsia="Arial Unicode MS"/>
              </w:rPr>
              <w:drawing>
                <wp:inline distT="0" distB="0" distL="0" distR="0" wp14:anchorId="4FFD0DC8" wp14:editId="71FE5ABA">
                  <wp:extent cx="2744015" cy="1544128"/>
                  <wp:effectExtent l="19050" t="19050" r="18415" b="184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1584" cy="1542760"/>
                          </a:xfrm>
                          <a:prstGeom prst="rect">
                            <a:avLst/>
                          </a:prstGeom>
                          <a:ln>
                            <a:solidFill>
                              <a:schemeClr val="tx1"/>
                            </a:solidFill>
                          </a:ln>
                        </pic:spPr>
                      </pic:pic>
                    </a:graphicData>
                  </a:graphic>
                </wp:inline>
              </w:drawing>
            </w:r>
          </w:p>
        </w:tc>
        <w:tc>
          <w:tcPr>
            <w:tcW w:w="4820" w:type="dxa"/>
          </w:tcPr>
          <w:p w14:paraId="01FAAD11" w14:textId="17F76392"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En Suisse, 7,3 % des femmes et 12,3 % des hommes sont prêts à se lancer dans des activités entrepreneuriales à un stade précoce. </w:t>
            </w:r>
            <w:proofErr w:type="spellStart"/>
            <w:r>
              <w:rPr>
                <w:rFonts w:ascii="Century Gothic" w:hAnsi="Century Gothic"/>
                <w:sz w:val="16"/>
              </w:rPr>
              <w:t>myidea</w:t>
            </w:r>
            <w:proofErr w:type="spellEnd"/>
            <w:r>
              <w:rPr>
                <w:rFonts w:ascii="Century Gothic" w:hAnsi="Century Gothic"/>
                <w:sz w:val="16"/>
              </w:rPr>
              <w:t xml:space="preserve"> peut aider à réduire cet écart au fil du temps. </w:t>
            </w:r>
          </w:p>
          <w:p w14:paraId="08CE03FA"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 xml:space="preserve">L’essentiel est que toute personne, homme ou femme, ayant étudié la pensée et l’action entrepreneuriales dans le cadre de </w:t>
            </w:r>
            <w:proofErr w:type="spellStart"/>
            <w:r>
              <w:rPr>
                <w:rFonts w:ascii="Century Gothic" w:hAnsi="Century Gothic"/>
                <w:sz w:val="16"/>
              </w:rPr>
              <w:t>myidea</w:t>
            </w:r>
            <w:proofErr w:type="spellEnd"/>
            <w:r>
              <w:rPr>
                <w:rFonts w:ascii="Century Gothic" w:hAnsi="Century Gothic"/>
                <w:sz w:val="16"/>
              </w:rPr>
              <w:t xml:space="preserve"> puisse décider d’embrasser ou d’écarter une carrière de fondateur ou fondatrice d’entreprises en toute connaissance de cause.</w:t>
            </w:r>
          </w:p>
          <w:p w14:paraId="627B3F88" w14:textId="77777777" w:rsidR="001B2C92" w:rsidRPr="00F31845" w:rsidRDefault="001B2C92" w:rsidP="00410D6B">
            <w:pPr>
              <w:spacing w:before="120" w:after="40"/>
              <w:rPr>
                <w:rFonts w:ascii="Century Gothic" w:eastAsia="Arial Unicode MS" w:hAnsi="Century Gothic"/>
                <w:bCs/>
                <w:sz w:val="16"/>
                <w:szCs w:val="16"/>
              </w:rPr>
            </w:pPr>
            <w:r>
              <w:rPr>
                <w:rFonts w:ascii="Century Gothic" w:hAnsi="Century Gothic"/>
                <w:sz w:val="16"/>
              </w:rPr>
              <w:t>Des activités entrepreneuriales n’impliquent pas nécessa</w:t>
            </w:r>
            <w:r>
              <w:rPr>
                <w:rFonts w:ascii="Century Gothic" w:hAnsi="Century Gothic"/>
                <w:sz w:val="16"/>
              </w:rPr>
              <w:t>i</w:t>
            </w:r>
            <w:r>
              <w:rPr>
                <w:rFonts w:ascii="Century Gothic" w:hAnsi="Century Gothic"/>
                <w:sz w:val="16"/>
              </w:rPr>
              <w:t>rement de créer une nouvelle entreprise. En effet, il est parfaitement possible de mettre en œuvre des projets innovants au sein de structures existantes. Avec les bons outils, nous nous assurons que le monde de l’entrepreneuriat est accessible non seulement aux dipl</w:t>
            </w:r>
            <w:r>
              <w:rPr>
                <w:rFonts w:ascii="Century Gothic" w:hAnsi="Century Gothic"/>
                <w:sz w:val="16"/>
              </w:rPr>
              <w:t>ô</w:t>
            </w:r>
            <w:r>
              <w:rPr>
                <w:rFonts w:ascii="Century Gothic" w:hAnsi="Century Gothic"/>
                <w:sz w:val="16"/>
              </w:rPr>
              <w:t>mé-e-s de hautes écoles, mais aussi aux apprenti-e-s.</w:t>
            </w:r>
          </w:p>
        </w:tc>
      </w:tr>
      <w:tr w:rsidR="001B2C92" w:rsidRPr="00F31845" w14:paraId="4012FB1D" w14:textId="77777777" w:rsidTr="00904C72">
        <w:tc>
          <w:tcPr>
            <w:tcW w:w="4536" w:type="dxa"/>
          </w:tcPr>
          <w:p w14:paraId="389B18CB" w14:textId="61113FA2" w:rsidR="001B2C92" w:rsidRPr="00F31845" w:rsidRDefault="009B5F16" w:rsidP="00904C72">
            <w:pPr>
              <w:spacing w:before="200" w:after="200"/>
              <w:ind w:left="34"/>
              <w:rPr>
                <w:rFonts w:eastAsia="Arial Unicode MS"/>
              </w:rPr>
            </w:pPr>
            <w:bookmarkStart w:id="1" w:name="_GoBack"/>
            <w:r w:rsidRPr="009B5F16">
              <w:rPr>
                <w:rFonts w:eastAsia="Arial Unicode MS"/>
              </w:rPr>
              <w:drawing>
                <wp:inline distT="0" distB="0" distL="0" distR="0" wp14:anchorId="6DC31FF0" wp14:editId="194F5656">
                  <wp:extent cx="2743200" cy="1548919"/>
                  <wp:effectExtent l="19050" t="19050" r="19050" b="133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2840" cy="1548716"/>
                          </a:xfrm>
                          <a:prstGeom prst="rect">
                            <a:avLst/>
                          </a:prstGeom>
                          <a:ln>
                            <a:solidFill>
                              <a:schemeClr val="tx1"/>
                            </a:solidFill>
                          </a:ln>
                        </pic:spPr>
                      </pic:pic>
                    </a:graphicData>
                  </a:graphic>
                </wp:inline>
              </w:drawing>
            </w:r>
            <w:bookmarkEnd w:id="1"/>
          </w:p>
        </w:tc>
        <w:tc>
          <w:tcPr>
            <w:tcW w:w="4820" w:type="dxa"/>
          </w:tcPr>
          <w:p w14:paraId="3112FA24" w14:textId="5FED7540" w:rsidR="001B2C92" w:rsidRPr="00F31845" w:rsidRDefault="00DA26F4" w:rsidP="001E009F">
            <w:pPr>
              <w:spacing w:before="120" w:after="40"/>
              <w:rPr>
                <w:rFonts w:ascii="Century Gothic" w:eastAsia="Arial Unicode MS" w:hAnsi="Century Gothic"/>
                <w:bCs/>
                <w:sz w:val="16"/>
                <w:szCs w:val="16"/>
              </w:rPr>
            </w:pPr>
            <w:r>
              <w:rPr>
                <w:rFonts w:ascii="Century Gothic" w:hAnsi="Century Gothic"/>
                <w:sz w:val="16"/>
              </w:rPr>
              <w:t>Dans le cadre d’une discussion ouverte, les participants et participantes échangent des idées quant à la manière d’améliorer la confiance des femmes en leurs propres capacités et à la pertinence d’adopter des approches différentes de celles utilisées pour les hommes.</w:t>
            </w:r>
            <w:r>
              <w:rPr>
                <w:rFonts w:ascii="Century Gothic" w:hAnsi="Century Gothic"/>
                <w:color w:val="FF0000"/>
                <w:sz w:val="16"/>
              </w:rPr>
              <w:t xml:space="preserve"> </w:t>
            </w:r>
          </w:p>
        </w:tc>
      </w:tr>
    </w:tbl>
    <w:p w14:paraId="7B684FD0" w14:textId="6BCAEB33" w:rsidR="006F630F" w:rsidRPr="00F31845" w:rsidRDefault="006F630F" w:rsidP="00F337E1">
      <w:pPr>
        <w:spacing w:before="40" w:after="40" w:line="260" w:lineRule="exact"/>
        <w:ind w:left="357"/>
        <w:rPr>
          <w:rFonts w:eastAsia="Arial Unicode MS"/>
          <w:sz w:val="20"/>
          <w:szCs w:val="20"/>
        </w:rPr>
      </w:pPr>
    </w:p>
    <w:p w14:paraId="487BB28F" w14:textId="77777777" w:rsidR="006F630F" w:rsidRPr="00F31845" w:rsidRDefault="006F630F" w:rsidP="006F630F"/>
    <w:p w14:paraId="62AE017B" w14:textId="77777777" w:rsidR="006F630F" w:rsidRPr="00F31845" w:rsidRDefault="006F630F" w:rsidP="00F337E1">
      <w:pPr>
        <w:spacing w:before="40" w:after="40" w:line="260" w:lineRule="exact"/>
        <w:ind w:left="357"/>
        <w:rPr>
          <w:rFonts w:eastAsia="Arial Unicode MS"/>
          <w:sz w:val="20"/>
          <w:szCs w:val="20"/>
        </w:rPr>
      </w:pPr>
    </w:p>
    <w:sectPr w:rsidR="006F630F" w:rsidRPr="00F31845" w:rsidSect="00564E2A">
      <w:headerReference w:type="even" r:id="rId26"/>
      <w:headerReference w:type="default" r:id="rId27"/>
      <w:footerReference w:type="even" r:id="rId28"/>
      <w:footerReference w:type="default" r:id="rId29"/>
      <w:headerReference w:type="first" r:id="rId30"/>
      <w:footerReference w:type="first" r:id="rId31"/>
      <w:pgSz w:w="11906" w:h="16838"/>
      <w:pgMar w:top="1021" w:right="1134" w:bottom="737" w:left="1134" w:header="709" w:footer="363"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cleme" w:date="2021-07-28T14:48:00Z" w:initials="CL">
    <w:p w14:paraId="7EEA1301" w14:textId="77777777" w:rsidR="00C7521A" w:rsidRDefault="0072745D">
      <w:pPr>
        <w:pStyle w:val="Commentaire"/>
      </w:pPr>
      <w:r>
        <w:rPr>
          <w:rStyle w:val="Marquedecommentaire"/>
        </w:rPr>
        <w:annotationRef/>
      </w:r>
      <w:r>
        <w:t xml:space="preserve">https://www.heg-fr.ch/de/  en allemand, c'est </w:t>
      </w:r>
      <w:proofErr w:type="spellStart"/>
      <w:r>
        <w:t>Wirtschaft</w:t>
      </w:r>
      <w:proofErr w:type="spellEnd"/>
      <w:r>
        <w:t>, pas 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EA13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EA1301" w16cid:durableId="24B4D9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485CB" w14:textId="77777777" w:rsidR="0072745D" w:rsidRDefault="0072745D">
      <w:r>
        <w:separator/>
      </w:r>
    </w:p>
  </w:endnote>
  <w:endnote w:type="continuationSeparator" w:id="0">
    <w:p w14:paraId="3BDA4786" w14:textId="77777777" w:rsidR="0072745D" w:rsidRDefault="0072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Courier"/>
    <w:panose1 w:val="000004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FD9B" w14:textId="77777777" w:rsidR="0022469C" w:rsidRDefault="002246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Pieddepag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9B5F16">
          <w:rPr>
            <w:rFonts w:ascii="Century Gothic" w:hAnsi="Century Gothic"/>
            <w:noProof/>
            <w:sz w:val="20"/>
            <w:szCs w:val="20"/>
          </w:rPr>
          <w:t>4</w:t>
        </w:r>
        <w:r w:rsidR="004A039E" w:rsidRPr="00410D6B">
          <w:rPr>
            <w:rFonts w:ascii="Century Gothic" w:hAnsi="Century Gothic"/>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3AB4" w14:textId="77777777" w:rsidR="0022469C" w:rsidRDefault="002246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1ECFF" w14:textId="77777777" w:rsidR="0072745D" w:rsidRDefault="0072745D">
      <w:r>
        <w:separator/>
      </w:r>
    </w:p>
  </w:footnote>
  <w:footnote w:type="continuationSeparator" w:id="0">
    <w:p w14:paraId="419381D2" w14:textId="77777777" w:rsidR="0072745D" w:rsidRDefault="00727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5156" w14:textId="77777777" w:rsidR="0022469C" w:rsidRDefault="002246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98A2B" w14:textId="77777777" w:rsidR="0022469C" w:rsidRDefault="002246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2CB1D" w14:textId="77777777" w:rsidR="009C6094" w:rsidRDefault="009C6094" w:rsidP="00EB5CF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nsid w:val="01EA1B04"/>
    <w:multiLevelType w:val="multilevel"/>
    <w:tmpl w:val="08070025"/>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6814"/>
        </w:tabs>
        <w:ind w:left="6814"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5">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1E6"/>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0DD8"/>
    <w:rsid w:val="006935D4"/>
    <w:rsid w:val="006940FC"/>
    <w:rsid w:val="006944E7"/>
    <w:rsid w:val="006960AD"/>
    <w:rsid w:val="006A2445"/>
    <w:rsid w:val="006A28DE"/>
    <w:rsid w:val="006A633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2745D"/>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5F16"/>
    <w:rsid w:val="009B789C"/>
    <w:rsid w:val="009B7C94"/>
    <w:rsid w:val="009C208A"/>
    <w:rsid w:val="009C5477"/>
    <w:rsid w:val="009C6094"/>
    <w:rsid w:val="009D0445"/>
    <w:rsid w:val="009D210D"/>
    <w:rsid w:val="009D2925"/>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21A"/>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30C3F"/>
    <w:rsid w:val="00E408B4"/>
    <w:rsid w:val="00E4501C"/>
    <w:rsid w:val="00E45C59"/>
    <w:rsid w:val="00E60AE7"/>
    <w:rsid w:val="00E62492"/>
    <w:rsid w:val="00E70283"/>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1B2B"/>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57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35" Type="http://schemas.microsoft.com/office/2011/relationships/commentsExtended" Target="commentsExtended.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520F50-284E-4E10-9174-B23B3C81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1259</Words>
  <Characters>7471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Semantis</cp:lastModifiedBy>
  <cp:revision>4</cp:revision>
  <cp:lastPrinted>2017-02-11T12:58:00Z</cp:lastPrinted>
  <dcterms:created xsi:type="dcterms:W3CDTF">2021-08-04T09:44:00Z</dcterms:created>
  <dcterms:modified xsi:type="dcterms:W3CDTF">2021-08-05T09:08:00Z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