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enseignant-e-s</w:t>
      </w:r>
    </w:p>
    <w:p w:rsidR="005476A7" w:rsidRPr="00F31845" w:rsidRDefault="005476A7" w:rsidP="0023153E">
      <w:pPr>
        <w:spacing w:line="360" w:lineRule="auto"/>
        <w:jc w:val="center"/>
        <w:rPr>
          <w:rFonts w:ascii="Century Gothic" w:hAnsi="Century Gothic"/>
          <w:b/>
          <w:sz w:val="22"/>
          <w:szCs w:val="22"/>
        </w:rPr>
      </w:pPr>
    </w:p>
    <w:p w:rsidR="001B2C92" w:rsidRPr="00F31845" w:rsidRDefault="005476A7" w:rsidP="001B2C92">
      <w:pPr>
        <w:spacing w:line="360" w:lineRule="auto"/>
        <w:jc w:val="center"/>
        <w:rPr>
          <w:rFonts w:ascii="Century Gothic" w:hAnsi="Century Gothic"/>
          <w:b/>
          <w:sz w:val="22"/>
          <w:szCs w:val="22"/>
        </w:rPr>
      </w:pPr>
      <w:r>
        <w:rPr>
          <w:rFonts w:ascii="Century Gothic" w:hAnsi="Century Gothic"/>
          <w:b/>
          <w:sz w:val="22"/>
        </w:rPr>
        <w:t>Thème en jaune 5: Effectuation et causation – deux logiques de décision distinctes</w:t>
      </w:r>
    </w:p>
    <w:p w:rsidR="001B2C92" w:rsidRPr="00F31845" w:rsidRDefault="001B2C92" w:rsidP="001B2C92">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rsidTr="00904C72">
        <w:tc>
          <w:tcPr>
            <w:tcW w:w="4536" w:type="dxa"/>
          </w:tcPr>
          <w:p w:rsidR="001B2C92" w:rsidRPr="00F31845" w:rsidRDefault="00357343" w:rsidP="00904C72">
            <w:pPr>
              <w:spacing w:before="200" w:after="200"/>
              <w:rPr>
                <w:rFonts w:eastAsia="Arial Unicode MS"/>
              </w:rPr>
            </w:pPr>
            <w:bookmarkStart w:id="0" w:name="_Hlk68862035"/>
            <w:r w:rsidRPr="00357343">
              <w:rPr>
                <w:rFonts w:eastAsia="Arial Unicode MS"/>
              </w:rPr>
              <w:drawing>
                <wp:inline distT="0" distB="0" distL="0" distR="0" wp14:anchorId="20D89D90" wp14:editId="7684DE85">
                  <wp:extent cx="2760453" cy="1557194"/>
                  <wp:effectExtent l="19050" t="19050" r="20955" b="241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1993" cy="1558063"/>
                          </a:xfrm>
                          <a:prstGeom prst="rect">
                            <a:avLst/>
                          </a:prstGeom>
                          <a:ln>
                            <a:solidFill>
                              <a:schemeClr val="tx1"/>
                            </a:solidFill>
                          </a:ln>
                        </pic:spPr>
                      </pic:pic>
                    </a:graphicData>
                  </a:graphic>
                </wp:inline>
              </w:drawing>
            </w:r>
          </w:p>
        </w:tc>
        <w:tc>
          <w:tcPr>
            <w:tcW w:w="4820" w:type="dxa"/>
          </w:tcPr>
          <w:p w:rsidR="001E74EA" w:rsidRPr="00F31845" w:rsidRDefault="001E74EA" w:rsidP="001E74EA">
            <w:pPr>
              <w:spacing w:before="120" w:after="40"/>
              <w:rPr>
                <w:rFonts w:ascii="Century Gothic" w:eastAsia="Arial Unicode MS" w:hAnsi="Century Gothic"/>
                <w:b/>
                <w:sz w:val="16"/>
                <w:szCs w:val="16"/>
              </w:rPr>
            </w:pPr>
            <w:r>
              <w:rPr>
                <w:rFonts w:ascii="Century Gothic" w:hAnsi="Century Gothic"/>
                <w:b/>
                <w:sz w:val="16"/>
              </w:rPr>
              <w:t xml:space="preserve">L’effectuation ou </w:t>
            </w:r>
            <w:r>
              <w:rPr>
                <w:rFonts w:ascii="Century Gothic" w:hAnsi="Century Gothic"/>
                <w:b/>
                <w:sz w:val="16"/>
                <w:u w:val="single"/>
              </w:rPr>
              <w:t>la</w:t>
            </w:r>
            <w:r>
              <w:rPr>
                <w:rFonts w:ascii="Century Gothic" w:hAnsi="Century Gothic"/>
                <w:b/>
                <w:sz w:val="16"/>
              </w:rPr>
              <w:t xml:space="preserve"> méthode entrepreneuriale par exce</w:t>
            </w:r>
            <w:r>
              <w:rPr>
                <w:rFonts w:ascii="Century Gothic" w:hAnsi="Century Gothic"/>
                <w:b/>
                <w:sz w:val="16"/>
              </w:rPr>
              <w:t>l</w:t>
            </w:r>
            <w:r>
              <w:rPr>
                <w:rFonts w:ascii="Century Gothic" w:hAnsi="Century Gothic"/>
                <w:b/>
                <w:sz w:val="16"/>
              </w:rPr>
              <w:t>lence</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La pensée et l’action entrepreneuriales se déploient to</w:t>
            </w:r>
            <w:r>
              <w:rPr>
                <w:rFonts w:ascii="Century Gothic" w:hAnsi="Century Gothic"/>
                <w:sz w:val="16"/>
              </w:rPr>
              <w:t>u</w:t>
            </w:r>
            <w:r>
              <w:rPr>
                <w:rFonts w:ascii="Century Gothic" w:hAnsi="Century Gothic"/>
                <w:sz w:val="16"/>
              </w:rPr>
              <w:t>jours dans l’incertitude, surtout lorsqu’il s’agit de dévelo</w:t>
            </w:r>
            <w:r>
              <w:rPr>
                <w:rFonts w:ascii="Century Gothic" w:hAnsi="Century Gothic"/>
                <w:sz w:val="16"/>
              </w:rPr>
              <w:t>p</w:t>
            </w:r>
            <w:r>
              <w:rPr>
                <w:rFonts w:ascii="Century Gothic" w:hAnsi="Century Gothic"/>
                <w:sz w:val="16"/>
              </w:rPr>
              <w:t xml:space="preserve">per des projets innovants. Les planifications et les précisions fondées uniquement sur l’expérience sont donc vouées à l’échec. Les logiques </w:t>
            </w:r>
            <w:proofErr w:type="spellStart"/>
            <w:r>
              <w:rPr>
                <w:rFonts w:ascii="Century Gothic" w:hAnsi="Century Gothic"/>
                <w:sz w:val="16"/>
              </w:rPr>
              <w:t>effectuales</w:t>
            </w:r>
            <w:proofErr w:type="spellEnd"/>
            <w:r>
              <w:rPr>
                <w:rFonts w:ascii="Century Gothic" w:hAnsi="Century Gothic"/>
                <w:sz w:val="16"/>
              </w:rPr>
              <w:t xml:space="preserve"> permettent de conserver sa capacité d’action dans l’incertitude.</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Objectif de cette session:</w:t>
            </w:r>
          </w:p>
          <w:p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Les enseignant-e-s sont capables d’expliquer la signif</w:t>
            </w:r>
            <w:r>
              <w:rPr>
                <w:rFonts w:ascii="Century Gothic" w:hAnsi="Century Gothic"/>
                <w:sz w:val="16"/>
              </w:rPr>
              <w:t>i</w:t>
            </w:r>
            <w:r>
              <w:rPr>
                <w:rFonts w:ascii="Century Gothic" w:hAnsi="Century Gothic"/>
                <w:sz w:val="16"/>
              </w:rPr>
              <w:t xml:space="preserve">cation de la logique </w:t>
            </w:r>
            <w:proofErr w:type="spellStart"/>
            <w:r>
              <w:rPr>
                <w:rFonts w:ascii="Century Gothic" w:hAnsi="Century Gothic"/>
                <w:sz w:val="16"/>
              </w:rPr>
              <w:t>effectuale</w:t>
            </w:r>
            <w:proofErr w:type="spellEnd"/>
            <w:r>
              <w:rPr>
                <w:rFonts w:ascii="Century Gothic" w:hAnsi="Century Gothic"/>
                <w:sz w:val="16"/>
              </w:rPr>
              <w:t xml:space="preserve"> et de la distinguer de la logique causale.</w:t>
            </w:r>
          </w:p>
          <w:p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Les enseignant-e-s sont en mesure d’expliquer les quatre heuristiques et le principe général de l’effectuation (principe du pilote dans l’avion).</w:t>
            </w:r>
          </w:p>
          <w:p w:rsidR="001B2C92" w:rsidRPr="00F31845" w:rsidRDefault="001B2C92" w:rsidP="00957FC0">
            <w:pPr>
              <w:numPr>
                <w:ilvl w:val="0"/>
                <w:numId w:val="7"/>
              </w:numPr>
              <w:spacing w:before="120" w:after="40"/>
              <w:rPr>
                <w:rFonts w:ascii="Century Gothic" w:eastAsia="Arial Unicode MS" w:hAnsi="Century Gothic"/>
                <w:sz w:val="16"/>
                <w:szCs w:val="16"/>
              </w:rPr>
            </w:pPr>
            <w:r>
              <w:rPr>
                <w:rFonts w:ascii="Century Gothic" w:hAnsi="Century Gothic"/>
                <w:sz w:val="16"/>
              </w:rPr>
              <w:t xml:space="preserve">Les enseignant-e-s sont en mesure de prendre en considération et d’utiliser de manière flexible les quatre heuristiques de l’effectuation dans le cadre du programme </w:t>
            </w:r>
            <w:proofErr w:type="spellStart"/>
            <w:r>
              <w:rPr>
                <w:rFonts w:ascii="Century Gothic" w:hAnsi="Century Gothic"/>
                <w:sz w:val="16"/>
              </w:rPr>
              <w:t>myidea</w:t>
            </w:r>
            <w:proofErr w:type="spellEnd"/>
            <w:r>
              <w:rPr>
                <w:rFonts w:ascii="Century Gothic" w:hAnsi="Century Gothic"/>
                <w:sz w:val="16"/>
              </w:rPr>
              <w:t>.</w:t>
            </w:r>
          </w:p>
        </w:tc>
      </w:tr>
      <w:tr w:rsidR="001B2C92" w:rsidRPr="00F31845" w:rsidTr="00904C72">
        <w:tc>
          <w:tcPr>
            <w:tcW w:w="4536" w:type="dxa"/>
          </w:tcPr>
          <w:p w:rsidR="00357343" w:rsidRPr="00F31845" w:rsidRDefault="00357343" w:rsidP="00904C72">
            <w:pPr>
              <w:spacing w:before="200" w:after="200"/>
              <w:rPr>
                <w:rFonts w:eastAsia="Arial Unicode MS"/>
              </w:rPr>
            </w:pPr>
            <w:r w:rsidRPr="00357343">
              <w:rPr>
                <w:rFonts w:eastAsia="Arial Unicode MS"/>
              </w:rPr>
              <w:drawing>
                <wp:inline distT="0" distB="0" distL="0" distR="0" wp14:anchorId="4CC4F444" wp14:editId="0505B122">
                  <wp:extent cx="2743200" cy="1548628"/>
                  <wp:effectExtent l="19050" t="19050" r="19050" b="139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4731" cy="1549492"/>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Une bonne entrée en matière efficace consiste à pe</w:t>
            </w:r>
            <w:r>
              <w:rPr>
                <w:rFonts w:ascii="Century Gothic" w:hAnsi="Century Gothic"/>
                <w:sz w:val="16"/>
              </w:rPr>
              <w:t>r</w:t>
            </w:r>
            <w:r>
              <w:rPr>
                <w:rFonts w:ascii="Century Gothic" w:hAnsi="Century Gothic"/>
                <w:sz w:val="16"/>
              </w:rPr>
              <w:t>mettre aux apprenant-e-s d’expérimenter les deux m</w:t>
            </w:r>
            <w:r>
              <w:rPr>
                <w:rFonts w:ascii="Century Gothic" w:hAnsi="Century Gothic"/>
                <w:sz w:val="16"/>
              </w:rPr>
              <w:t>é</w:t>
            </w:r>
            <w:r>
              <w:rPr>
                <w:rFonts w:ascii="Century Gothic" w:hAnsi="Century Gothic"/>
                <w:sz w:val="16"/>
              </w:rPr>
              <w:t>thodes de l’effectuation et de la causation.</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b/>
                <w:sz w:val="16"/>
              </w:rPr>
              <w:t>Exemple:</w:t>
            </w:r>
            <w:r>
              <w:rPr>
                <w:rFonts w:ascii="Century Gothic" w:hAnsi="Century Gothic"/>
                <w:sz w:val="16"/>
              </w:rPr>
              <w:t xml:space="preserve"> formez des équipes. Chaque équipe dispose de 10 minutes pour résoudre un puzzle. Ensuite, accordez également 10 minutes à chacune d’elles pour créer quelque chose à partir de morceaux de tissu (alternative: des Lego ou des mosaïques Plus-Plus). Ne donnez aucune consigne par rapport à la procédure. Indiquez seulement que le meilleur résultat (p. ex. celui de l’équipe des mult</w:t>
            </w:r>
            <w:r>
              <w:rPr>
                <w:rFonts w:ascii="Century Gothic" w:hAnsi="Century Gothic"/>
                <w:sz w:val="16"/>
              </w:rPr>
              <w:t>i</w:t>
            </w:r>
            <w:r>
              <w:rPr>
                <w:rFonts w:ascii="Century Gothic" w:hAnsi="Century Gothic"/>
                <w:sz w:val="16"/>
              </w:rPr>
              <w:t>plicateurs/-</w:t>
            </w:r>
            <w:proofErr w:type="spellStart"/>
            <w:r>
              <w:rPr>
                <w:rFonts w:ascii="Century Gothic" w:hAnsi="Century Gothic"/>
                <w:sz w:val="16"/>
              </w:rPr>
              <w:t>trices</w:t>
            </w:r>
            <w:proofErr w:type="spellEnd"/>
            <w:r>
              <w:rPr>
                <w:rFonts w:ascii="Century Gothic" w:hAnsi="Century Gothic"/>
                <w:sz w:val="16"/>
              </w:rPr>
              <w:t>) sera récompensé. Précisez que l’équipe qui terminera le puzzle la première gagnera aussi un prix.</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L’exercice sera suivi d’une discussion sur les différences. Cette discussion peut être lancée par une question o</w:t>
            </w:r>
            <w:r>
              <w:rPr>
                <w:rFonts w:ascii="Century Gothic" w:hAnsi="Century Gothic"/>
                <w:sz w:val="16"/>
              </w:rPr>
              <w:t>u</w:t>
            </w:r>
            <w:r>
              <w:rPr>
                <w:rFonts w:ascii="Century Gothic" w:hAnsi="Century Gothic"/>
                <w:sz w:val="16"/>
              </w:rPr>
              <w:t xml:space="preserve">verte: «En quoi les deux approches diffèrent-elles?» </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L’échange devrait déboucher sur les constats suivants: le résultat du puzzle est toujours le même. Tout est  «seul</w:t>
            </w:r>
            <w:r>
              <w:rPr>
                <w:rFonts w:ascii="Century Gothic" w:hAnsi="Century Gothic"/>
                <w:sz w:val="16"/>
              </w:rPr>
              <w:t>e</w:t>
            </w:r>
            <w:r>
              <w:rPr>
                <w:rFonts w:ascii="Century Gothic" w:hAnsi="Century Gothic"/>
                <w:sz w:val="16"/>
              </w:rPr>
              <w:t>ment» une question de rapidité et d’efficacité de la m</w:t>
            </w:r>
            <w:r>
              <w:rPr>
                <w:rFonts w:ascii="Century Gothic" w:hAnsi="Century Gothic"/>
                <w:sz w:val="16"/>
              </w:rPr>
              <w:t>é</w:t>
            </w:r>
            <w:r>
              <w:rPr>
                <w:rFonts w:ascii="Century Gothic" w:hAnsi="Century Gothic"/>
                <w:sz w:val="16"/>
              </w:rPr>
              <w:t>thode de résolution. Il existe de bonnes pratiques en la matière: une équipe qui répartit bien les rôles et dév</w:t>
            </w:r>
            <w:r>
              <w:rPr>
                <w:rFonts w:ascii="Century Gothic" w:hAnsi="Century Gothic"/>
                <w:sz w:val="16"/>
              </w:rPr>
              <w:t>e</w:t>
            </w:r>
            <w:r>
              <w:rPr>
                <w:rFonts w:ascii="Century Gothic" w:hAnsi="Century Gothic"/>
                <w:sz w:val="16"/>
              </w:rPr>
              <w:t xml:space="preserve">loppe de bonnes tactiques (comme le tri par bords et par couleurs) aura de meilleurs résultats que celle qui ne le fait pas. </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En revanche, le résultat de l’exercice de l’effectuation est incertain et dépend des ressources initiales ainsi que des préférences et des ressources de l’équipe. Cette a</w:t>
            </w:r>
            <w:r>
              <w:rPr>
                <w:rFonts w:ascii="Century Gothic" w:hAnsi="Century Gothic"/>
                <w:sz w:val="16"/>
              </w:rPr>
              <w:t>p</w:t>
            </w:r>
            <w:r>
              <w:rPr>
                <w:rFonts w:ascii="Century Gothic" w:hAnsi="Century Gothic"/>
                <w:sz w:val="16"/>
              </w:rPr>
              <w:t>proche est un terreau fertile pour les véritables innovations.</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Même si le thème de l’effectuation ne fait pas partie du programme </w:t>
            </w:r>
            <w:proofErr w:type="spellStart"/>
            <w:r>
              <w:rPr>
                <w:rFonts w:ascii="Century Gothic" w:hAnsi="Century Gothic"/>
                <w:sz w:val="16"/>
              </w:rPr>
              <w:t>myidea</w:t>
            </w:r>
            <w:proofErr w:type="spellEnd"/>
            <w:r>
              <w:rPr>
                <w:rFonts w:ascii="Century Gothic" w:hAnsi="Century Gothic"/>
                <w:sz w:val="16"/>
              </w:rPr>
              <w:t>, rien ne vous empêche de l’aborder avec les apprenant-e-s si votre emploi du temps vous le permet.</w:t>
            </w:r>
          </w:p>
        </w:tc>
      </w:tr>
      <w:tr w:rsidR="001B2C92" w:rsidRPr="00F31845" w:rsidTr="00904C72">
        <w:tc>
          <w:tcPr>
            <w:tcW w:w="4536" w:type="dxa"/>
          </w:tcPr>
          <w:p w:rsidR="00357343" w:rsidRPr="00F31845" w:rsidRDefault="00357343" w:rsidP="00904C72">
            <w:pPr>
              <w:spacing w:before="200" w:after="200"/>
              <w:rPr>
                <w:rFonts w:eastAsia="Arial Unicode MS"/>
              </w:rPr>
            </w:pPr>
            <w:r w:rsidRPr="00357343">
              <w:rPr>
                <w:rFonts w:eastAsia="Arial Unicode MS"/>
              </w:rPr>
              <w:lastRenderedPageBreak/>
              <w:drawing>
                <wp:inline distT="0" distB="0" distL="0" distR="0" wp14:anchorId="56ECBE9F" wp14:editId="768D4104">
                  <wp:extent cx="2751826" cy="1549108"/>
                  <wp:effectExtent l="19050" t="19050" r="10795" b="133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6486" cy="1551731"/>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hAnsi="Century Gothic" w:cstheme="minorHAnsi"/>
                <w:sz w:val="16"/>
                <w:szCs w:val="16"/>
              </w:rPr>
            </w:pPr>
            <w:r>
              <w:rPr>
                <w:rFonts w:ascii="Century Gothic" w:hAnsi="Century Gothic"/>
                <w:sz w:val="16"/>
              </w:rPr>
              <w:t xml:space="preserve">La chercheuse </w:t>
            </w:r>
            <w:proofErr w:type="spellStart"/>
            <w:r>
              <w:rPr>
                <w:rFonts w:ascii="Century Gothic" w:hAnsi="Century Gothic"/>
                <w:sz w:val="16"/>
              </w:rPr>
              <w:t>Saras</w:t>
            </w:r>
            <w:proofErr w:type="spellEnd"/>
            <w:r>
              <w:rPr>
                <w:rFonts w:ascii="Century Gothic" w:hAnsi="Century Gothic"/>
                <w:sz w:val="16"/>
              </w:rPr>
              <w:t xml:space="preserve"> D. </w:t>
            </w:r>
            <w:proofErr w:type="spellStart"/>
            <w:r>
              <w:rPr>
                <w:rFonts w:ascii="Century Gothic" w:hAnsi="Century Gothic"/>
                <w:sz w:val="16"/>
              </w:rPr>
              <w:t>Sarasvathy</w:t>
            </w:r>
            <w:proofErr w:type="spellEnd"/>
            <w:r>
              <w:rPr>
                <w:rFonts w:ascii="Century Gothic" w:hAnsi="Century Gothic"/>
                <w:sz w:val="16"/>
              </w:rPr>
              <w:t xml:space="preserve"> est à l’origine de la logique </w:t>
            </w:r>
            <w:proofErr w:type="spellStart"/>
            <w:r>
              <w:rPr>
                <w:rFonts w:ascii="Century Gothic" w:hAnsi="Century Gothic"/>
                <w:sz w:val="16"/>
              </w:rPr>
              <w:t>effectuale</w:t>
            </w:r>
            <w:proofErr w:type="spellEnd"/>
            <w:r>
              <w:rPr>
                <w:rFonts w:ascii="Century Gothic" w:hAnsi="Century Gothic"/>
                <w:sz w:val="16"/>
              </w:rPr>
              <w:t>. En collaboration avec d’autres che</w:t>
            </w:r>
            <w:r>
              <w:rPr>
                <w:rFonts w:ascii="Century Gothic" w:hAnsi="Century Gothic"/>
                <w:sz w:val="16"/>
              </w:rPr>
              <w:t>r</w:t>
            </w:r>
            <w:r>
              <w:rPr>
                <w:rFonts w:ascii="Century Gothic" w:hAnsi="Century Gothic"/>
                <w:sz w:val="16"/>
              </w:rPr>
              <w:t>cheurs et chercheuses, elle a d’abord mené des études comparatives avec des entrepreneurs et entrepreneuses expérimentés et des étudiant-e-s en management, puis avec des managers expérimentés.</w:t>
            </w:r>
          </w:p>
          <w:p w:rsidR="001B2C92" w:rsidRPr="00F31845" w:rsidRDefault="001B2C92" w:rsidP="001E74EA">
            <w:pPr>
              <w:spacing w:before="120" w:after="40"/>
              <w:rPr>
                <w:rFonts w:ascii="Century Gothic" w:hAnsi="Century Gothic" w:cstheme="minorHAnsi"/>
                <w:sz w:val="16"/>
                <w:szCs w:val="16"/>
              </w:rPr>
            </w:pPr>
            <w:r>
              <w:rPr>
                <w:rFonts w:ascii="Century Gothic" w:hAnsi="Century Gothic"/>
                <w:sz w:val="16"/>
              </w:rPr>
              <w:t xml:space="preserve">En guise d’alternative ou de complément à votre propre explication de la diapositive, vous pouvez présenter la vidéo suivante en anglais: </w:t>
            </w:r>
            <w:hyperlink r:id="rId12" w:history="1">
              <w:r>
                <w:rPr>
                  <w:rStyle w:val="Lienhypertexte"/>
                  <w:rFonts w:ascii="Century Gothic" w:hAnsi="Century Gothic"/>
                  <w:sz w:val="16"/>
                </w:rPr>
                <w:t>yo</w:t>
              </w:r>
              <w:r>
                <w:rPr>
                  <w:rStyle w:val="Lienhypertexte"/>
                  <w:rFonts w:ascii="Century Gothic" w:hAnsi="Century Gothic"/>
                  <w:sz w:val="16"/>
                </w:rPr>
                <w:t>u</w:t>
              </w:r>
              <w:r>
                <w:rPr>
                  <w:rStyle w:val="Lienhypertexte"/>
                  <w:rFonts w:ascii="Century Gothic" w:hAnsi="Century Gothic"/>
                  <w:sz w:val="16"/>
                </w:rPr>
                <w:t>tube.com/</w:t>
              </w:r>
              <w:proofErr w:type="spellStart"/>
              <w:r>
                <w:rPr>
                  <w:rStyle w:val="Lienhypertexte"/>
                  <w:rFonts w:ascii="Century Gothic" w:hAnsi="Century Gothic"/>
                  <w:sz w:val="16"/>
                </w:rPr>
                <w:t>watch</w:t>
              </w:r>
              <w:proofErr w:type="gramStart"/>
              <w:r>
                <w:rPr>
                  <w:rStyle w:val="Lienhypertexte"/>
                  <w:rFonts w:ascii="Century Gothic" w:hAnsi="Century Gothic"/>
                  <w:sz w:val="16"/>
                </w:rPr>
                <w:t>?v</w:t>
              </w:r>
              <w:proofErr w:type="spellEnd"/>
              <w:proofErr w:type="gramEnd"/>
              <w:r>
                <w:rPr>
                  <w:rStyle w:val="Lienhypertexte"/>
                  <w:rFonts w:ascii="Century Gothic" w:hAnsi="Century Gothic"/>
                  <w:sz w:val="16"/>
                </w:rPr>
                <w:t>=</w:t>
              </w:r>
              <w:proofErr w:type="spellStart"/>
              <w:r>
                <w:rPr>
                  <w:rStyle w:val="Lienhypertexte"/>
                  <w:rFonts w:ascii="Century Gothic" w:hAnsi="Century Gothic"/>
                  <w:sz w:val="16"/>
                </w:rPr>
                <w:t>Ruvb_kGAMYw&amp;t</w:t>
              </w:r>
              <w:proofErr w:type="spellEnd"/>
              <w:r>
                <w:rPr>
                  <w:rStyle w:val="Lienhypertexte"/>
                  <w:rFonts w:ascii="Century Gothic" w:hAnsi="Century Gothic"/>
                  <w:sz w:val="16"/>
                </w:rPr>
                <w:t>=1s</w:t>
              </w:r>
            </w:hyperlink>
            <w:r>
              <w:rPr>
                <w:rFonts w:ascii="Century Gothic" w:hAnsi="Century Gothic"/>
                <w:sz w:val="16"/>
              </w:rPr>
              <w:t xml:space="preserve"> dans laquelle S. D. </w:t>
            </w:r>
            <w:proofErr w:type="spellStart"/>
            <w:r>
              <w:rPr>
                <w:rFonts w:ascii="Century Gothic" w:hAnsi="Century Gothic"/>
                <w:sz w:val="16"/>
              </w:rPr>
              <w:t>Sarasvathy</w:t>
            </w:r>
            <w:proofErr w:type="spellEnd"/>
            <w:r>
              <w:rPr>
                <w:rFonts w:ascii="Century Gothic" w:hAnsi="Century Gothic"/>
                <w:sz w:val="16"/>
              </w:rPr>
              <w:t xml:space="preserve"> explique elle-même les résultats de ses études.</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7D8439A4" wp14:editId="7EB9A1C2">
                  <wp:extent cx="2751826" cy="1548231"/>
                  <wp:effectExtent l="19050" t="19050" r="10795" b="139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3362" cy="1549095"/>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Les apprenant-e-s ont d’abord découvert les différences entre les deux approches et le contexte des études emp</w:t>
            </w:r>
            <w:r>
              <w:rPr>
                <w:rFonts w:ascii="Century Gothic" w:hAnsi="Century Gothic"/>
                <w:sz w:val="16"/>
              </w:rPr>
              <w:t>i</w:t>
            </w:r>
            <w:r>
              <w:rPr>
                <w:rFonts w:ascii="Century Gothic" w:hAnsi="Century Gothic"/>
                <w:sz w:val="16"/>
              </w:rPr>
              <w:t>riques leur a été exposé. La présente diapositive illustre la différence entre effectuation et causation sur un plan conceptuel. Les enseignant-e-s peuvent ainsi aborder le concept de différentes manières.</w:t>
            </w:r>
          </w:p>
        </w:tc>
      </w:tr>
      <w:tr w:rsidR="001B2C92" w:rsidRPr="00F31845" w:rsidTr="00904C72">
        <w:tc>
          <w:tcPr>
            <w:tcW w:w="4536" w:type="dxa"/>
          </w:tcPr>
          <w:p w:rsidR="00357343" w:rsidRPr="00F31845" w:rsidRDefault="00357343" w:rsidP="00904C72">
            <w:pPr>
              <w:spacing w:before="200" w:after="200"/>
              <w:rPr>
                <w:rFonts w:eastAsia="Arial Unicode MS"/>
              </w:rPr>
            </w:pPr>
            <w:r w:rsidRPr="00357343">
              <w:rPr>
                <w:rFonts w:eastAsia="Arial Unicode MS"/>
              </w:rPr>
              <w:drawing>
                <wp:inline distT="0" distB="0" distL="0" distR="0" wp14:anchorId="197D516D" wp14:editId="72A38A12">
                  <wp:extent cx="2760453" cy="1552792"/>
                  <wp:effectExtent l="19050" t="19050" r="20955"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3833" cy="1554693"/>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Ce principe peut également s’appliquer à un acte de la vie quotidienne: Cuisine-t-on en suivant une recette (l</w:t>
            </w:r>
            <w:r>
              <w:rPr>
                <w:rFonts w:ascii="Century Gothic" w:hAnsi="Century Gothic"/>
                <w:sz w:val="16"/>
              </w:rPr>
              <w:t>o</w:t>
            </w:r>
            <w:r>
              <w:rPr>
                <w:rFonts w:ascii="Century Gothic" w:hAnsi="Century Gothic"/>
                <w:sz w:val="16"/>
              </w:rPr>
              <w:t xml:space="preserve">gique causale) ou en fonction des ingrédients à disposition (logique </w:t>
            </w:r>
            <w:proofErr w:type="spellStart"/>
            <w:r>
              <w:rPr>
                <w:rFonts w:ascii="Century Gothic" w:hAnsi="Century Gothic"/>
                <w:sz w:val="16"/>
              </w:rPr>
              <w:t>effectuale</w:t>
            </w:r>
            <w:proofErr w:type="spellEnd"/>
            <w:r>
              <w:rPr>
                <w:rFonts w:ascii="Century Gothic" w:hAnsi="Century Gothic"/>
                <w:sz w:val="16"/>
              </w:rPr>
              <w:t>)?</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L’échange avec les enseignant-e-s peut p. ex. comme</w:t>
            </w:r>
            <w:r>
              <w:rPr>
                <w:rFonts w:ascii="Century Gothic" w:hAnsi="Century Gothic"/>
                <w:sz w:val="16"/>
              </w:rPr>
              <w:t>n</w:t>
            </w:r>
            <w:r>
              <w:rPr>
                <w:rFonts w:ascii="Century Gothic" w:hAnsi="Century Gothic"/>
                <w:sz w:val="16"/>
              </w:rPr>
              <w:t>cer par un vote: Qui cuisine en suivant des recettes? Qui cuisine en fonction des ingrédients disponibles? Qui fait les deux, selon la situation?</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À ce stade, on peut souligner que les deux approches ont leur justification: l’effectuation est plus appropriée pour agir dans l’incertitude, la causation peut être appliquée lor</w:t>
            </w:r>
            <w:r>
              <w:rPr>
                <w:rFonts w:ascii="Century Gothic" w:hAnsi="Century Gothic"/>
                <w:sz w:val="16"/>
              </w:rPr>
              <w:t>s</w:t>
            </w:r>
            <w:r>
              <w:rPr>
                <w:rFonts w:ascii="Century Gothic" w:hAnsi="Century Gothic"/>
                <w:sz w:val="16"/>
              </w:rPr>
              <w:t>que les planifications et les prévisions basées sur des exp</w:t>
            </w:r>
            <w:r>
              <w:rPr>
                <w:rFonts w:ascii="Century Gothic" w:hAnsi="Century Gothic"/>
                <w:sz w:val="16"/>
              </w:rPr>
              <w:t>é</w:t>
            </w:r>
            <w:r>
              <w:rPr>
                <w:rFonts w:ascii="Century Gothic" w:hAnsi="Century Gothic"/>
                <w:sz w:val="16"/>
              </w:rPr>
              <w:t>riences antérieures sont pertinentes.</w:t>
            </w:r>
          </w:p>
        </w:tc>
      </w:tr>
      <w:tr w:rsidR="001B2C92" w:rsidRPr="00F31845" w:rsidTr="00904C72">
        <w:tc>
          <w:tcPr>
            <w:tcW w:w="4536" w:type="dxa"/>
          </w:tcPr>
          <w:p w:rsidR="00357343" w:rsidRPr="00F31845" w:rsidRDefault="00357343" w:rsidP="00904C72">
            <w:pPr>
              <w:spacing w:before="200" w:after="200"/>
              <w:rPr>
                <w:rFonts w:eastAsia="Arial Unicode MS"/>
              </w:rPr>
            </w:pPr>
            <w:r w:rsidRPr="00357343">
              <w:rPr>
                <w:rFonts w:eastAsia="Arial Unicode MS"/>
              </w:rPr>
              <w:drawing>
                <wp:inline distT="0" distB="0" distL="0" distR="0" wp14:anchorId="3A5C4127" wp14:editId="6693E465">
                  <wp:extent cx="2754140" cy="1552755"/>
                  <wp:effectExtent l="19050" t="19050" r="27305" b="285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6681" cy="1554188"/>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Dans le cadre de leurs études empiriques, S. D. </w:t>
            </w:r>
            <w:proofErr w:type="spellStart"/>
            <w:r>
              <w:rPr>
                <w:rFonts w:ascii="Century Gothic" w:hAnsi="Century Gothic"/>
                <w:sz w:val="16"/>
              </w:rPr>
              <w:t>Sarasvathy</w:t>
            </w:r>
            <w:proofErr w:type="spellEnd"/>
            <w:r>
              <w:rPr>
                <w:rFonts w:ascii="Century Gothic" w:hAnsi="Century Gothic"/>
                <w:sz w:val="16"/>
              </w:rPr>
              <w:t xml:space="preserve"> et d’autres chercheurs et chercheuses ont identifié quatre heuristiques et un principe général utilisés par des entrepreneurs et entrepreneuses expérimentés. Ceux-ci permettent de comprendre comment l’effectuation est mise en œuvre concrètement.</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Toutefois, ces résultats, comme tous les résultats scient</w:t>
            </w:r>
            <w:r>
              <w:rPr>
                <w:rFonts w:ascii="Century Gothic" w:hAnsi="Century Gothic"/>
                <w:sz w:val="16"/>
              </w:rPr>
              <w:t>i</w:t>
            </w:r>
            <w:r>
              <w:rPr>
                <w:rFonts w:ascii="Century Gothic" w:hAnsi="Century Gothic"/>
                <w:sz w:val="16"/>
              </w:rPr>
              <w:t>fiques, ne sont pas exhaustifs. Il se peut que d’autres pri</w:t>
            </w:r>
            <w:r>
              <w:rPr>
                <w:rFonts w:ascii="Century Gothic" w:hAnsi="Century Gothic"/>
                <w:sz w:val="16"/>
              </w:rPr>
              <w:t>n</w:t>
            </w:r>
            <w:r>
              <w:rPr>
                <w:rFonts w:ascii="Century Gothic" w:hAnsi="Century Gothic"/>
                <w:sz w:val="16"/>
              </w:rPr>
              <w:t>cipes soient identifiés à l’avenir ou que les principes exi</w:t>
            </w:r>
            <w:r>
              <w:rPr>
                <w:rFonts w:ascii="Century Gothic" w:hAnsi="Century Gothic"/>
                <w:sz w:val="16"/>
              </w:rPr>
              <w:t>s</w:t>
            </w:r>
            <w:r>
              <w:rPr>
                <w:rFonts w:ascii="Century Gothic" w:hAnsi="Century Gothic"/>
                <w:sz w:val="16"/>
              </w:rPr>
              <w:t>tants ne soient pas confirmés dans la même mesure dans des études futures.</w:t>
            </w:r>
          </w:p>
        </w:tc>
      </w:tr>
      <w:tr w:rsidR="001B2C92" w:rsidRPr="00F31845" w:rsidTr="00904C72">
        <w:tc>
          <w:tcPr>
            <w:tcW w:w="4536" w:type="dxa"/>
          </w:tcPr>
          <w:p w:rsidR="00357343" w:rsidRPr="00F31845" w:rsidRDefault="00357343" w:rsidP="00904C72">
            <w:pPr>
              <w:spacing w:before="200" w:after="200"/>
              <w:rPr>
                <w:rFonts w:eastAsia="Arial Unicode MS"/>
              </w:rPr>
            </w:pPr>
            <w:r w:rsidRPr="00357343">
              <w:rPr>
                <w:rFonts w:eastAsia="Arial Unicode MS"/>
              </w:rPr>
              <w:drawing>
                <wp:inline distT="0" distB="0" distL="0" distR="0" wp14:anchorId="17C02316" wp14:editId="7B016980">
                  <wp:extent cx="2751826" cy="1548231"/>
                  <wp:effectExtent l="19050" t="19050" r="10795" b="139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3362" cy="1549095"/>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Les diapositives suivantes présentent chacune un principe d’effectuation avant d’énumérer des idées sur la façon dont ces principes peuvent être expérimentés de manière flexible dans le cadre du programme </w:t>
            </w:r>
            <w:proofErr w:type="spellStart"/>
            <w:r>
              <w:rPr>
                <w:rFonts w:ascii="Century Gothic" w:hAnsi="Century Gothic"/>
                <w:sz w:val="16"/>
              </w:rPr>
              <w:t>myidea</w:t>
            </w:r>
            <w:proofErr w:type="spellEnd"/>
            <w:r>
              <w:rPr>
                <w:rFonts w:ascii="Century Gothic" w:hAnsi="Century Gothic"/>
                <w:sz w:val="16"/>
              </w:rPr>
              <w:t>. L’éventail de ces idées de mise en œuvre n’est en aucun cas e</w:t>
            </w:r>
            <w:r>
              <w:rPr>
                <w:rFonts w:ascii="Century Gothic" w:hAnsi="Century Gothic"/>
                <w:sz w:val="16"/>
              </w:rPr>
              <w:t>x</w:t>
            </w:r>
            <w:r>
              <w:rPr>
                <w:rFonts w:ascii="Century Gothic" w:hAnsi="Century Gothic"/>
                <w:sz w:val="16"/>
              </w:rPr>
              <w:t>haustif.</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lastRenderedPageBreak/>
              <w:drawing>
                <wp:inline distT="0" distB="0" distL="0" distR="0" wp14:anchorId="1D150541" wp14:editId="45FDB3FB">
                  <wp:extent cx="2740187" cy="1552754"/>
                  <wp:effectExtent l="19050" t="19050" r="22225" b="285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6608" cy="1556393"/>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 principe «Un tiens vaut mieux que deux tu l’auras» est l’une des raisons pour lesquelles </w:t>
            </w:r>
            <w:proofErr w:type="spellStart"/>
            <w:r>
              <w:rPr>
                <w:rFonts w:ascii="Century Gothic" w:hAnsi="Century Gothic"/>
                <w:sz w:val="16"/>
              </w:rPr>
              <w:t>myidea</w:t>
            </w:r>
            <w:proofErr w:type="spellEnd"/>
            <w:r>
              <w:rPr>
                <w:rFonts w:ascii="Century Gothic" w:hAnsi="Century Gothic"/>
                <w:sz w:val="16"/>
              </w:rPr>
              <w:t xml:space="preserve"> peut également être utilisé par des apprenant-e-s d’un niveau plus faible: pour mener à bien une idée entrepreneuriale, on peut s’appuyer sur ses propres points forts et déléguer à des partenaires les tâches qu’on est moins à même de réaliser soi-même.</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5EEBEB24" wp14:editId="396ED04A">
                  <wp:extent cx="2751826" cy="1552327"/>
                  <wp:effectExtent l="19050" t="19050" r="1079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3362" cy="1553193"/>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 principe de perte acceptable ne protège pas contre l’échec, mais il peut protéger contre en endettement conduisant à de graves difficultés personnelles et fina</w:t>
            </w:r>
            <w:r>
              <w:rPr>
                <w:rFonts w:ascii="Century Gothic" w:hAnsi="Century Gothic"/>
                <w:sz w:val="16"/>
              </w:rPr>
              <w:t>n</w:t>
            </w:r>
            <w:r>
              <w:rPr>
                <w:rFonts w:ascii="Century Gothic" w:hAnsi="Century Gothic"/>
                <w:sz w:val="16"/>
              </w:rPr>
              <w:t>cières.</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Étant donné qu’une grande partie des entreprises font faillite (en principe, après cinq ans d’existence, la moitié des entreprises ne sont plus sur le marché), ce principe constitue une protection efficace contre un endettement insurmontable.</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0F876E4F" wp14:editId="46C651E6">
                  <wp:extent cx="2769079" cy="1556761"/>
                  <wp:effectExtent l="19050" t="19050" r="12700" b="2476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0899" cy="1557784"/>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Puisque les apprenant-e-s ne lancent «que» des entreprises fictives, la mise en œuvre de ce principe dans le cadre du programme </w:t>
            </w:r>
            <w:proofErr w:type="spellStart"/>
            <w:r>
              <w:rPr>
                <w:rFonts w:ascii="Century Gothic" w:hAnsi="Century Gothic"/>
                <w:sz w:val="16"/>
              </w:rPr>
              <w:t>myidea</w:t>
            </w:r>
            <w:proofErr w:type="spellEnd"/>
            <w:r>
              <w:rPr>
                <w:rFonts w:ascii="Century Gothic" w:hAnsi="Century Gothic"/>
                <w:sz w:val="16"/>
              </w:rPr>
              <w:t xml:space="preserve"> a ses limites. Toutefois, les apprenant-e-s peuvent certainement se poser la question suivante: Combien sont-ils/elles prêt-e-s à investir dans le programme en tant qu’équipe? Peut-être même au-delà des heures de cours à proprement parler.</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169BF563" wp14:editId="4E98D692">
                  <wp:extent cx="2794958" cy="1570121"/>
                  <wp:effectExtent l="19050" t="19050" r="24765"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01483" cy="1573786"/>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 grand avantage de se laisser guider par les ressources, et par chaque étape suivante qui en découle, est que les imprévus peuvent être exploités pour faire évoluer posit</w:t>
            </w:r>
            <w:r>
              <w:rPr>
                <w:rFonts w:ascii="Century Gothic" w:hAnsi="Century Gothic"/>
                <w:sz w:val="16"/>
              </w:rPr>
              <w:t>i</w:t>
            </w:r>
            <w:r>
              <w:rPr>
                <w:rFonts w:ascii="Century Gothic" w:hAnsi="Century Gothic"/>
                <w:sz w:val="16"/>
              </w:rPr>
              <w:t>vement une idée entrepreneuriale. Cela exige une ce</w:t>
            </w:r>
            <w:r>
              <w:rPr>
                <w:rFonts w:ascii="Century Gothic" w:hAnsi="Century Gothic"/>
                <w:sz w:val="16"/>
              </w:rPr>
              <w:t>r</w:t>
            </w:r>
            <w:r>
              <w:rPr>
                <w:rFonts w:ascii="Century Gothic" w:hAnsi="Century Gothic"/>
                <w:sz w:val="16"/>
              </w:rPr>
              <w:t>taine ouverture d’esprit, et pas seulement de la part des apprenant-e-s. Les enseignant-e-s doivent également être ouverts aux changements d’orientation des apprenant-e-s  au fil du temps (même à la veille des présentations finales). Généralement, cela porte ses fruits, pour autant que les apprenant-e-s soient vraiment motivés.</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7064D2E9" wp14:editId="33F5FAFC">
                  <wp:extent cx="2780977" cy="1561381"/>
                  <wp:effectExtent l="19050" t="19050" r="19685" b="203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87199" cy="1564875"/>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Presque toutes les équipes sont confrontées à des feed-back négatifs, et  il est bien compréhensible que ce soit démotivant dans un premier temps. Dans un deuxième temps cependant, il convient d’examiner, avec le soutien des enseignant-e-s, la possibilité de réinterpréter et d’utiliser  ces points négatifs  pour faire évoluer l’idée entreprene</w:t>
            </w:r>
            <w:r>
              <w:rPr>
                <w:rFonts w:ascii="Century Gothic" w:hAnsi="Century Gothic"/>
                <w:sz w:val="16"/>
              </w:rPr>
              <w:t>u</w:t>
            </w:r>
            <w:r>
              <w:rPr>
                <w:rFonts w:ascii="Century Gothic" w:hAnsi="Century Gothic"/>
                <w:sz w:val="16"/>
              </w:rPr>
              <w:t xml:space="preserve">riale en question. </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lastRenderedPageBreak/>
              <w:drawing>
                <wp:inline distT="0" distB="0" distL="0" distR="0" wp14:anchorId="5A0E0142" wp14:editId="6FB52927">
                  <wp:extent cx="2734573" cy="1542595"/>
                  <wp:effectExtent l="19050" t="19050" r="27940" b="196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6100" cy="1543456"/>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Les partenariats peuvent représenter un facteur déterm</w:t>
            </w:r>
            <w:r>
              <w:rPr>
                <w:rFonts w:ascii="Century Gothic" w:hAnsi="Century Gothic"/>
                <w:sz w:val="16"/>
              </w:rPr>
              <w:t>i</w:t>
            </w:r>
            <w:r>
              <w:rPr>
                <w:rFonts w:ascii="Century Gothic" w:hAnsi="Century Gothic"/>
                <w:sz w:val="16"/>
              </w:rPr>
              <w:t>nant dans la réussite d’une entreprise. Ils permettent d’obtenir de nouvelles ressources ou de conquérir de no</w:t>
            </w:r>
            <w:r>
              <w:rPr>
                <w:rFonts w:ascii="Century Gothic" w:hAnsi="Century Gothic"/>
                <w:sz w:val="16"/>
              </w:rPr>
              <w:t>u</w:t>
            </w:r>
            <w:r>
              <w:rPr>
                <w:rFonts w:ascii="Century Gothic" w:hAnsi="Century Gothic"/>
                <w:sz w:val="16"/>
              </w:rPr>
              <w:t xml:space="preserve">veaux marchés. </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Les apprenant-e-s doivent dès lors réfléchir sérieusement aux personnes avec lesquelles ils coopéreraient ainsi qu’aux activités à valeur ajoutée qu’ils/elles assumeraient eux/elles-mêmes et à celles qu’ils/elles ne prendraient pas en charge. Le concept de «Création avec des comp</w:t>
            </w:r>
            <w:r>
              <w:rPr>
                <w:rFonts w:ascii="Century Gothic" w:hAnsi="Century Gothic"/>
                <w:sz w:val="16"/>
              </w:rPr>
              <w:t>o</w:t>
            </w:r>
            <w:r>
              <w:rPr>
                <w:rFonts w:ascii="Century Gothic" w:hAnsi="Century Gothic"/>
                <w:sz w:val="16"/>
              </w:rPr>
              <w:t xml:space="preserve">sants externes» va dans le même sens. </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335B1088" wp14:editId="5C708745">
                  <wp:extent cx="2751826" cy="1550279"/>
                  <wp:effectExtent l="19050" t="19050" r="10795" b="120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3362" cy="1551144"/>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Le temps imparti au programme </w:t>
            </w:r>
            <w:proofErr w:type="spellStart"/>
            <w:r>
              <w:rPr>
                <w:rFonts w:ascii="Century Gothic" w:hAnsi="Century Gothic"/>
                <w:sz w:val="16"/>
              </w:rPr>
              <w:t>myidea</w:t>
            </w:r>
            <w:proofErr w:type="spellEnd"/>
            <w:r>
              <w:rPr>
                <w:rFonts w:ascii="Century Gothic" w:hAnsi="Century Gothic"/>
                <w:sz w:val="16"/>
              </w:rPr>
              <w:t xml:space="preserve"> est généralement limité. Cependant, si les apprenant-e-s trouvent du temps pour discuter avec des entrepreneurs et entrepreneuses qui pourraient être des partenaires potentiels, cela peut s’avérer extrêmement motivant. Cela permet souvent aux apprenant-e-s de constater qu’on les prend au sérieux, eux/elles et leurs idées.</w:t>
            </w:r>
          </w:p>
        </w:tc>
      </w:tr>
      <w:tr w:rsidR="001B2C92" w:rsidRPr="00357343"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6013F1CE" wp14:editId="7C518890">
                  <wp:extent cx="2769079" cy="1559705"/>
                  <wp:effectExtent l="19050" t="19050" r="12700" b="215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0624" cy="1560575"/>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À ce stade, il convient de souligner une fois de plus que les quatre principes ou heuristiques ont un dénominateur commun: il s’agit d’accepter l’incertitude dans laquelle opèrent les entrepreneurs/-ses et de réfléchir à la manière d’agir malgré cette insécurité.</w:t>
            </w:r>
          </w:p>
          <w:p w:rsidR="001B2C92" w:rsidRPr="00E757C4" w:rsidRDefault="001B2C92" w:rsidP="001E74EA">
            <w:pPr>
              <w:spacing w:before="120" w:after="40"/>
              <w:rPr>
                <w:rFonts w:ascii="Century Gothic" w:eastAsia="Arial Unicode MS" w:hAnsi="Century Gothic"/>
                <w:sz w:val="16"/>
                <w:szCs w:val="16"/>
                <w:lang w:val="en-GB"/>
              </w:rPr>
            </w:pPr>
            <w:proofErr w:type="spellStart"/>
            <w:r w:rsidRPr="00E757C4">
              <w:rPr>
                <w:rFonts w:ascii="Century Gothic" w:hAnsi="Century Gothic"/>
                <w:sz w:val="16"/>
                <w:lang w:val="en-GB"/>
              </w:rPr>
              <w:t>Selon</w:t>
            </w:r>
            <w:proofErr w:type="spellEnd"/>
            <w:r w:rsidRPr="00E757C4">
              <w:rPr>
                <w:rFonts w:ascii="Century Gothic" w:hAnsi="Century Gothic"/>
                <w:sz w:val="16"/>
                <w:lang w:val="en-GB"/>
              </w:rPr>
              <w:t xml:space="preserve"> la devise: «If I can control the future, I do not need to predict it</w:t>
            </w:r>
            <w:proofErr w:type="gramStart"/>
            <w:r w:rsidRPr="00E757C4">
              <w:rPr>
                <w:rFonts w:ascii="Century Gothic" w:hAnsi="Century Gothic"/>
                <w:sz w:val="16"/>
                <w:lang w:val="en-GB"/>
              </w:rPr>
              <w:t>.»</w:t>
            </w:r>
            <w:proofErr w:type="gramEnd"/>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37079A9D" wp14:editId="684021A7">
                  <wp:extent cx="2794958" cy="1580224"/>
                  <wp:effectExtent l="19050" t="19050" r="24765" b="203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8273" cy="1582098"/>
                          </a:xfrm>
                          <a:prstGeom prst="rect">
                            <a:avLst/>
                          </a:prstGeom>
                          <a:ln>
                            <a:solidFill>
                              <a:schemeClr val="tx1"/>
                            </a:solidFill>
                          </a:ln>
                        </pic:spPr>
                      </pic:pic>
                    </a:graphicData>
                  </a:graphic>
                </wp:inline>
              </w:drawing>
            </w:r>
          </w:p>
        </w:tc>
        <w:tc>
          <w:tcPr>
            <w:tcW w:w="4820" w:type="dxa"/>
          </w:tcPr>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 xml:space="preserve">Pour terminer, en guise de résumé, on peut présenter les différences entre la logique causale et la logique </w:t>
            </w:r>
            <w:proofErr w:type="spellStart"/>
            <w:r>
              <w:rPr>
                <w:rFonts w:ascii="Century Gothic" w:hAnsi="Century Gothic"/>
                <w:sz w:val="16"/>
              </w:rPr>
              <w:t>effe</w:t>
            </w:r>
            <w:r>
              <w:rPr>
                <w:rFonts w:ascii="Century Gothic" w:hAnsi="Century Gothic"/>
                <w:sz w:val="16"/>
              </w:rPr>
              <w:t>c</w:t>
            </w:r>
            <w:r>
              <w:rPr>
                <w:rFonts w:ascii="Century Gothic" w:hAnsi="Century Gothic"/>
                <w:sz w:val="16"/>
              </w:rPr>
              <w:t>tuale</w:t>
            </w:r>
            <w:proofErr w:type="spellEnd"/>
            <w:r>
              <w:rPr>
                <w:rFonts w:ascii="Century Gothic" w:hAnsi="Century Gothic"/>
                <w:sz w:val="16"/>
              </w:rPr>
              <w:t xml:space="preserve"> à l’aide de deux illustrations.</w:t>
            </w:r>
          </w:p>
          <w:p w:rsidR="001B2C92" w:rsidRPr="00F31845" w:rsidRDefault="001B2C92" w:rsidP="001E74EA">
            <w:pPr>
              <w:spacing w:before="120" w:after="40"/>
              <w:rPr>
                <w:rFonts w:ascii="Century Gothic" w:eastAsia="Arial Unicode MS" w:hAnsi="Century Gothic"/>
                <w:sz w:val="16"/>
                <w:szCs w:val="16"/>
              </w:rPr>
            </w:pPr>
            <w:r>
              <w:rPr>
                <w:rFonts w:ascii="Century Gothic" w:hAnsi="Century Gothic"/>
                <w:sz w:val="16"/>
              </w:rPr>
              <w:t>On peut ajouter ici que nos systèmes éducatifs se focal</w:t>
            </w:r>
            <w:r>
              <w:rPr>
                <w:rFonts w:ascii="Century Gothic" w:hAnsi="Century Gothic"/>
                <w:sz w:val="16"/>
              </w:rPr>
              <w:t>i</w:t>
            </w:r>
            <w:r>
              <w:rPr>
                <w:rFonts w:ascii="Century Gothic" w:hAnsi="Century Gothic"/>
                <w:sz w:val="16"/>
              </w:rPr>
              <w:t xml:space="preserve">sent surtout sur la logique causale. </w:t>
            </w:r>
          </w:p>
        </w:tc>
      </w:tr>
      <w:tr w:rsidR="001B2C92" w:rsidRPr="00F31845" w:rsidTr="00904C72">
        <w:tc>
          <w:tcPr>
            <w:tcW w:w="4536" w:type="dxa"/>
          </w:tcPr>
          <w:p w:rsidR="001B2C92" w:rsidRPr="00F31845" w:rsidRDefault="00357343" w:rsidP="00904C72">
            <w:pPr>
              <w:spacing w:before="200" w:after="200"/>
              <w:rPr>
                <w:rFonts w:eastAsia="Arial Unicode MS"/>
              </w:rPr>
            </w:pPr>
            <w:r w:rsidRPr="00357343">
              <w:rPr>
                <w:rFonts w:eastAsia="Arial Unicode MS"/>
              </w:rPr>
              <w:drawing>
                <wp:inline distT="0" distB="0" distL="0" distR="0" wp14:anchorId="63D5F060" wp14:editId="68372FB8">
                  <wp:extent cx="2794958" cy="1575172"/>
                  <wp:effectExtent l="19050" t="19050" r="24765" b="254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6518" cy="1576051"/>
                          </a:xfrm>
                          <a:prstGeom prst="rect">
                            <a:avLst/>
                          </a:prstGeom>
                          <a:ln>
                            <a:solidFill>
                              <a:schemeClr val="tx1"/>
                            </a:solidFill>
                          </a:ln>
                        </pic:spPr>
                      </pic:pic>
                    </a:graphicData>
                  </a:graphic>
                </wp:inline>
              </w:drawing>
            </w:r>
          </w:p>
        </w:tc>
        <w:tc>
          <w:tcPr>
            <w:tcW w:w="4820" w:type="dxa"/>
          </w:tcPr>
          <w:p w:rsidR="00A8191C" w:rsidRPr="00F31845" w:rsidRDefault="00A8191C" w:rsidP="001E74EA">
            <w:pPr>
              <w:spacing w:before="120" w:after="40"/>
              <w:rPr>
                <w:rFonts w:ascii="Century Gothic" w:eastAsia="Arial Unicode MS" w:hAnsi="Century Gothic"/>
                <w:sz w:val="16"/>
                <w:szCs w:val="16"/>
              </w:rPr>
            </w:pPr>
            <w:r>
              <w:rPr>
                <w:rFonts w:ascii="Century Gothic" w:hAnsi="Century Gothic"/>
                <w:sz w:val="16"/>
              </w:rPr>
              <w:t>Les apprenant-e-s doivent être encouragés à agir et à devenir actifs. Les approches par la découverte sont tout</w:t>
            </w:r>
            <w:r>
              <w:rPr>
                <w:rFonts w:ascii="Century Gothic" w:hAnsi="Century Gothic"/>
                <w:sz w:val="16"/>
              </w:rPr>
              <w:t>e</w:t>
            </w:r>
            <w:r>
              <w:rPr>
                <w:rFonts w:ascii="Century Gothic" w:hAnsi="Century Gothic"/>
                <w:sz w:val="16"/>
              </w:rPr>
              <w:t>fois généralement négligées. Par conséquent, les ense</w:t>
            </w:r>
            <w:r>
              <w:rPr>
                <w:rFonts w:ascii="Century Gothic" w:hAnsi="Century Gothic"/>
                <w:sz w:val="16"/>
              </w:rPr>
              <w:t>i</w:t>
            </w:r>
            <w:r>
              <w:rPr>
                <w:rFonts w:ascii="Century Gothic" w:hAnsi="Century Gothic"/>
                <w:sz w:val="16"/>
              </w:rPr>
              <w:t>gnant-e-s ont parfois du mal à soutenir les apprenant-e-s dans ce processus o</w:t>
            </w:r>
            <w:bookmarkStart w:id="1" w:name="_GoBack"/>
            <w:bookmarkEnd w:id="1"/>
            <w:r>
              <w:rPr>
                <w:rFonts w:ascii="Century Gothic" w:hAnsi="Century Gothic"/>
                <w:sz w:val="16"/>
              </w:rPr>
              <w:t>uvert.</w:t>
            </w:r>
          </w:p>
        </w:tc>
      </w:tr>
      <w:bookmarkEnd w:id="0"/>
    </w:tbl>
    <w:p w:rsidR="001B2C92" w:rsidRPr="00F31845" w:rsidRDefault="001B2C92" w:rsidP="006F630F">
      <w:pPr>
        <w:spacing w:line="360" w:lineRule="auto"/>
        <w:jc w:val="center"/>
        <w:rPr>
          <w:rFonts w:ascii="Century Gothic" w:hAnsi="Century Gothic"/>
          <w:b/>
          <w:sz w:val="22"/>
          <w:szCs w:val="22"/>
        </w:rPr>
      </w:pPr>
    </w:p>
    <w:sectPr w:rsidR="001B2C92" w:rsidRPr="00F31845" w:rsidSect="00564E2A">
      <w:headerReference w:type="even" r:id="rId27"/>
      <w:headerReference w:type="default" r:id="rId28"/>
      <w:footerReference w:type="even" r:id="rId29"/>
      <w:footerReference w:type="default" r:id="rId30"/>
      <w:headerReference w:type="first" r:id="rId31"/>
      <w:footerReference w:type="first" r:id="rId3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FD0" w:rsidRDefault="00414FD0">
      <w:r>
        <w:separator/>
      </w:r>
    </w:p>
  </w:endnote>
  <w:endnote w:type="continuationSeparator" w:id="0">
    <w:p w:rsidR="00414FD0" w:rsidRDefault="0041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Courier"/>
    <w:panose1 w:val="000004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0"/>
        <w:szCs w:val="20"/>
      </w:rPr>
      <w:id w:val="140321456"/>
      <w:docPartObj>
        <w:docPartGallery w:val="Page Numbers (Bottom of Page)"/>
        <w:docPartUnique/>
      </w:docPartObj>
    </w:sdtPr>
    <w:sdtEndPr/>
    <w:sdtContent>
      <w:p w:rsidR="009C6094" w:rsidRPr="00410D6B" w:rsidRDefault="009C6094" w:rsidP="00E90C32">
        <w:pPr>
          <w:pStyle w:val="Pieddepag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rPr>
          <w:fldChar w:fldCharType="begin"/>
        </w:r>
        <w:r w:rsidRPr="00410D6B">
          <w:rPr>
            <w:rFonts w:ascii="Century Gothic" w:hAnsi="Century Gothic"/>
            <w:sz w:val="20"/>
          </w:rPr>
          <w:instrText>PAGE   \* MERGEFORMAT</w:instrText>
        </w:r>
        <w:r w:rsidR="004A039E" w:rsidRPr="00410D6B">
          <w:rPr>
            <w:rFonts w:ascii="Century Gothic" w:hAnsi="Century Gothic"/>
            <w:sz w:val="20"/>
          </w:rPr>
          <w:fldChar w:fldCharType="separate"/>
        </w:r>
        <w:r w:rsidR="00AE1CCB">
          <w:rPr>
            <w:rFonts w:ascii="Century Gothic" w:hAnsi="Century Gothic"/>
            <w:noProof/>
            <w:sz w:val="20"/>
          </w:rPr>
          <w:t>2</w:t>
        </w:r>
        <w:r w:rsidR="004A039E" w:rsidRPr="00410D6B">
          <w:rPr>
            <w:rFonts w:ascii="Century Gothic" w:hAnsi="Century Gothic"/>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FD0" w:rsidRDefault="00414FD0">
      <w:r>
        <w:separator/>
      </w:r>
    </w:p>
  </w:footnote>
  <w:footnote w:type="continuationSeparator" w:id="0">
    <w:p w:rsidR="00414FD0" w:rsidRDefault="00414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094" w:rsidRDefault="009C6094" w:rsidP="00EB5CF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nsid w:val="01EA1B04"/>
    <w:multiLevelType w:val="multilevel"/>
    <w:tmpl w:val="08070025"/>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6814"/>
        </w:tabs>
        <w:ind w:left="6814"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5">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57343"/>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4FD0"/>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125"/>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CCB"/>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58A9"/>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D7881"/>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57C4"/>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D658A"/>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Ruvb_kGAMYw&amp;t=1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7C12F7C-38F0-4F4D-A8B8-EFB633BF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1283</Words>
  <Characters>7611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Semantis</cp:lastModifiedBy>
  <cp:revision>5</cp:revision>
  <cp:lastPrinted>2017-02-11T12:58:00Z</cp:lastPrinted>
  <dcterms:created xsi:type="dcterms:W3CDTF">2021-07-28T08:46:00Z</dcterms:created>
  <dcterms:modified xsi:type="dcterms:W3CDTF">2021-07-28T15:37:00Z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