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83EF" w14:textId="56D53D81" w:rsidR="00206452" w:rsidRPr="005B1EB5" w:rsidRDefault="003D57BB" w:rsidP="00206452">
      <w:pPr>
        <w:spacing w:line="360" w:lineRule="auto"/>
        <w:jc w:val="center"/>
        <w:rPr>
          <w:rFonts w:ascii="Century Gothic" w:hAnsi="Century Gothic"/>
          <w:b/>
          <w:noProof/>
          <w:sz w:val="32"/>
          <w:szCs w:val="32"/>
        </w:rPr>
      </w:pPr>
      <w:r>
        <w:rPr>
          <w:rFonts w:ascii="Century Gothic" w:hAnsi="Century Gothic"/>
          <w:b/>
          <w:sz w:val="32"/>
        </w:rPr>
        <w:t xml:space="preserve">Diapositives </w:t>
      </w:r>
      <w:proofErr w:type="gramStart"/>
      <w:r>
        <w:rPr>
          <w:rFonts w:ascii="Century Gothic" w:hAnsi="Century Gothic"/>
          <w:b/>
          <w:sz w:val="32"/>
        </w:rPr>
        <w:t>commentées:</w:t>
      </w:r>
      <w:proofErr w:type="gramEnd"/>
      <w:r w:rsidR="00B862C8">
        <w:rPr>
          <w:rFonts w:ascii="Century Gothic" w:hAnsi="Century Gothic"/>
          <w:b/>
          <w:sz w:val="32"/>
        </w:rPr>
        <w:br/>
      </w:r>
      <w:r w:rsidR="00206452">
        <w:rPr>
          <w:rFonts w:ascii="Century Gothic" w:hAnsi="Century Gothic"/>
          <w:b/>
          <w:sz w:val="32"/>
        </w:rPr>
        <w:t>apprenant-e-s – activités complémentaires</w:t>
      </w:r>
    </w:p>
    <w:p w14:paraId="28CD5A64" w14:textId="77777777" w:rsidR="00206452" w:rsidRPr="0083752A" w:rsidRDefault="00206452" w:rsidP="00206452">
      <w:pPr>
        <w:rPr>
          <w:rFonts w:ascii="Century Gothic" w:hAnsi="Century Gothic"/>
        </w:rPr>
      </w:pPr>
      <w:bookmarkStart w:id="0" w:name="_Toc271720289"/>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206452" w:rsidRPr="0083752A" w14:paraId="70BEF305" w14:textId="77777777" w:rsidTr="0003420B">
        <w:tc>
          <w:tcPr>
            <w:tcW w:w="4536" w:type="dxa"/>
          </w:tcPr>
          <w:p w14:paraId="36FCAA45" w14:textId="77777777" w:rsidR="00206452" w:rsidRPr="008A693F" w:rsidRDefault="00206452" w:rsidP="0003420B">
            <w:pPr>
              <w:spacing w:before="200" w:after="200"/>
              <w:ind w:left="34"/>
              <w:rPr>
                <w:rFonts w:ascii="Century Gothic" w:eastAsia="Arial Unicode MS" w:hAnsi="Century Gothic"/>
                <w:noProof/>
                <w:sz w:val="22"/>
                <w:szCs w:val="22"/>
              </w:rPr>
            </w:pPr>
            <w:r>
              <w:rPr>
                <w:noProof/>
                <w:lang w:eastAsia="fr-CH"/>
              </w:rPr>
              <w:drawing>
                <wp:inline distT="0" distB="0" distL="0" distR="0" wp14:anchorId="43DBF771" wp14:editId="6DD8C1F7">
                  <wp:extent cx="2743198" cy="1543048"/>
                  <wp:effectExtent l="19050" t="19050" r="19685" b="1968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161CFA67" w14:textId="5A79592A" w:rsidR="00206452" w:rsidRDefault="00206452" w:rsidP="0003420B">
            <w:pPr>
              <w:spacing w:before="120" w:after="40"/>
              <w:rPr>
                <w:rFonts w:ascii="Century Gothic" w:eastAsia="Arial Unicode MS" w:hAnsi="Century Gothic"/>
                <w:sz w:val="16"/>
                <w:szCs w:val="16"/>
              </w:rPr>
            </w:pPr>
          </w:p>
        </w:tc>
      </w:tr>
      <w:tr w:rsidR="00206452" w:rsidRPr="0083752A" w14:paraId="7B88F6DF" w14:textId="77777777" w:rsidTr="0003420B">
        <w:tc>
          <w:tcPr>
            <w:tcW w:w="4536" w:type="dxa"/>
          </w:tcPr>
          <w:p w14:paraId="687DEA18"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drawing>
                <wp:inline distT="0" distB="0" distL="0" distR="0" wp14:anchorId="581983FB" wp14:editId="288F3B38">
                  <wp:extent cx="2731768" cy="1536620"/>
                  <wp:effectExtent l="19050" t="19050" r="12065" b="2603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fik 9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1768" cy="1536620"/>
                          </a:xfrm>
                          <a:prstGeom prst="rect">
                            <a:avLst/>
                          </a:prstGeom>
                          <a:noFill/>
                          <a:ln>
                            <a:solidFill>
                              <a:schemeClr val="tx1"/>
                            </a:solidFill>
                          </a:ln>
                        </pic:spPr>
                      </pic:pic>
                    </a:graphicData>
                  </a:graphic>
                </wp:inline>
              </w:drawing>
            </w:r>
          </w:p>
        </w:tc>
        <w:tc>
          <w:tcPr>
            <w:tcW w:w="4820" w:type="dxa"/>
          </w:tcPr>
          <w:p w14:paraId="418A8E7C"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Les compétences entrepreneuriales s’acquièrent par la pratique. Les diapositives suivantes proposent trois activités qui permettent de s’entraîner.</w:t>
            </w:r>
          </w:p>
        </w:tc>
      </w:tr>
      <w:tr w:rsidR="00206452" w:rsidRPr="0083752A" w14:paraId="70AF9FDA" w14:textId="77777777" w:rsidTr="0003420B">
        <w:tc>
          <w:tcPr>
            <w:tcW w:w="4536" w:type="dxa"/>
          </w:tcPr>
          <w:p w14:paraId="5073C252"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drawing>
                <wp:inline distT="0" distB="0" distL="0" distR="0" wp14:anchorId="395B8763" wp14:editId="3088C959">
                  <wp:extent cx="2737484" cy="1539834"/>
                  <wp:effectExtent l="19050" t="19050" r="25400" b="2286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fik 1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37484" cy="1539834"/>
                          </a:xfrm>
                          <a:prstGeom prst="rect">
                            <a:avLst/>
                          </a:prstGeom>
                          <a:noFill/>
                          <a:ln>
                            <a:solidFill>
                              <a:schemeClr val="tx1"/>
                            </a:solidFill>
                          </a:ln>
                        </pic:spPr>
                      </pic:pic>
                    </a:graphicData>
                  </a:graphic>
                </wp:inline>
              </w:drawing>
            </w:r>
          </w:p>
        </w:tc>
        <w:tc>
          <w:tcPr>
            <w:tcW w:w="4820" w:type="dxa"/>
          </w:tcPr>
          <w:p w14:paraId="03F2A0A1"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 xml:space="preserve">Cette activité vise expressément à ce que les apprenant-e-s abordent une personne qu’ils/elles ne connaissent </w:t>
            </w:r>
            <w:r>
              <w:rPr>
                <w:rFonts w:ascii="Century Gothic" w:hAnsi="Century Gothic"/>
                <w:sz w:val="16"/>
                <w:u w:val="single"/>
              </w:rPr>
              <w:t>pas</w:t>
            </w:r>
            <w:r>
              <w:rPr>
                <w:rFonts w:ascii="Century Gothic" w:hAnsi="Century Gothic"/>
                <w:sz w:val="16"/>
              </w:rPr>
              <w:t xml:space="preserve"> encore.</w:t>
            </w:r>
          </w:p>
          <w:p w14:paraId="0E08F5FE"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 xml:space="preserve">En effet, les fondatrices et les fondateurs doivent régulièrement prendre contact avec des personnes pour leur demander quelque </w:t>
            </w:r>
            <w:proofErr w:type="gramStart"/>
            <w:r>
              <w:rPr>
                <w:rFonts w:ascii="Century Gothic" w:hAnsi="Century Gothic"/>
                <w:sz w:val="16"/>
              </w:rPr>
              <w:t>chose:</w:t>
            </w:r>
            <w:proofErr w:type="gramEnd"/>
            <w:r>
              <w:rPr>
                <w:rFonts w:ascii="Century Gothic" w:hAnsi="Century Gothic"/>
                <w:sz w:val="16"/>
              </w:rPr>
              <w:t xml:space="preserve"> des informations, des nouveaux contacts, du feed-back, du temps, de l’argent.</w:t>
            </w:r>
          </w:p>
          <w:p w14:paraId="08D1B8EA"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Surmonter sa timidité pour aborder des personnes, et a fortiori, des personnes que l’on ne connait pas encore, est donc important.</w:t>
            </w:r>
          </w:p>
        </w:tc>
      </w:tr>
      <w:tr w:rsidR="00206452" w:rsidRPr="0083752A" w14:paraId="1A7D2305" w14:textId="77777777" w:rsidTr="0003420B">
        <w:tc>
          <w:tcPr>
            <w:tcW w:w="4536" w:type="dxa"/>
          </w:tcPr>
          <w:p w14:paraId="1C946CE7"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drawing>
                <wp:inline distT="0" distB="0" distL="0" distR="0" wp14:anchorId="6288DBDB" wp14:editId="0F4EEED8">
                  <wp:extent cx="2733038" cy="1537334"/>
                  <wp:effectExtent l="19050" t="19050" r="10795" b="2540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Grafik 15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3038" cy="1537334"/>
                          </a:xfrm>
                          <a:prstGeom prst="rect">
                            <a:avLst/>
                          </a:prstGeom>
                          <a:noFill/>
                          <a:ln>
                            <a:solidFill>
                              <a:schemeClr val="tx1"/>
                            </a:solidFill>
                          </a:ln>
                        </pic:spPr>
                      </pic:pic>
                    </a:graphicData>
                  </a:graphic>
                </wp:inline>
              </w:drawing>
            </w:r>
          </w:p>
        </w:tc>
        <w:tc>
          <w:tcPr>
            <w:tcW w:w="4820" w:type="dxa"/>
          </w:tcPr>
          <w:p w14:paraId="05229364"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 xml:space="preserve">Ici aussi, il s’agit de demander un service à quelqu’un que l’on ne connaît pas. </w:t>
            </w:r>
          </w:p>
        </w:tc>
      </w:tr>
      <w:tr w:rsidR="00206452" w:rsidRPr="0083752A" w14:paraId="21D0AEAD" w14:textId="77777777" w:rsidTr="0003420B">
        <w:tc>
          <w:tcPr>
            <w:tcW w:w="4536" w:type="dxa"/>
          </w:tcPr>
          <w:p w14:paraId="4DB5396D"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lastRenderedPageBreak/>
              <w:drawing>
                <wp:inline distT="0" distB="0" distL="0" distR="0" wp14:anchorId="0E7769E2" wp14:editId="0774A436">
                  <wp:extent cx="2731768" cy="1536620"/>
                  <wp:effectExtent l="19050" t="19050" r="12065" b="2603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Grafik 1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31768" cy="1536620"/>
                          </a:xfrm>
                          <a:prstGeom prst="rect">
                            <a:avLst/>
                          </a:prstGeom>
                          <a:noFill/>
                          <a:ln>
                            <a:solidFill>
                              <a:schemeClr val="tx1"/>
                            </a:solidFill>
                          </a:ln>
                        </pic:spPr>
                      </pic:pic>
                    </a:graphicData>
                  </a:graphic>
                </wp:inline>
              </w:drawing>
            </w:r>
          </w:p>
        </w:tc>
        <w:tc>
          <w:tcPr>
            <w:tcW w:w="4820" w:type="dxa"/>
          </w:tcPr>
          <w:p w14:paraId="3C68F6CB"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Cette activité permet d’exercer des compétences qui seront également essentielles ultérieurement pour la vente de produits et services. Il faut par ex. trouver des arguments attestant de l’intérêt que l’objet proposé pourrait présenter pour l’autre personne.</w:t>
            </w:r>
          </w:p>
        </w:tc>
      </w:tr>
      <w:bookmarkEnd w:id="0"/>
    </w:tbl>
    <w:p w14:paraId="5DC9F006" w14:textId="77777777" w:rsidR="00206452" w:rsidRPr="00B862C8" w:rsidRDefault="00206452" w:rsidP="00206452">
      <w:pPr>
        <w:spacing w:before="40" w:after="40" w:line="260" w:lineRule="exact"/>
        <w:ind w:left="357"/>
        <w:rPr>
          <w:rFonts w:ascii="Century Gothic" w:eastAsia="Arial Unicode MS" w:hAnsi="Century Gothic"/>
          <w:sz w:val="20"/>
          <w:szCs w:val="20"/>
        </w:rPr>
      </w:pPr>
    </w:p>
    <w:p w14:paraId="2709F378" w14:textId="77777777" w:rsidR="00206452" w:rsidRPr="00B862C8" w:rsidRDefault="00206452" w:rsidP="00206452"/>
    <w:p w14:paraId="43CDFB8A" w14:textId="77777777" w:rsidR="00206452" w:rsidRPr="00B862C8" w:rsidRDefault="00206452" w:rsidP="00206452"/>
    <w:p w14:paraId="3C4D60E1" w14:textId="77777777" w:rsidR="00DA1C03" w:rsidRPr="00B862C8" w:rsidRDefault="00DA1C03"/>
    <w:sectPr w:rsidR="00DA1C03" w:rsidRPr="00B862C8" w:rsidSect="00564E2A">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D1D9" w14:textId="77777777" w:rsidR="0070665A" w:rsidRDefault="0070665A">
      <w:r>
        <w:separator/>
      </w:r>
    </w:p>
  </w:endnote>
  <w:endnote w:type="continuationSeparator" w:id="0">
    <w:p w14:paraId="2CD86952" w14:textId="77777777" w:rsidR="0070665A" w:rsidRDefault="0070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4E15" w14:textId="77777777" w:rsidR="00BB3649" w:rsidRDefault="00BB59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40321456"/>
      <w:docPartObj>
        <w:docPartGallery w:val="Page Numbers (Bottom of Page)"/>
        <w:docPartUnique/>
      </w:docPartObj>
    </w:sdtPr>
    <w:sdtEndPr/>
    <w:sdtContent>
      <w:p w14:paraId="1FF7FAF1" w14:textId="77777777" w:rsidR="00BB3649" w:rsidRPr="007B0DD6" w:rsidRDefault="003D5ACA" w:rsidP="00E90C32">
        <w:pPr>
          <w:pStyle w:val="Fuzeile"/>
          <w:jc w:val="right"/>
          <w:rPr>
            <w:rFonts w:ascii="Century Gothic" w:hAnsi="Century Gothic"/>
            <w:sz w:val="20"/>
            <w:szCs w:val="20"/>
          </w:rPr>
        </w:pPr>
        <w:r>
          <w:rPr>
            <w:rFonts w:ascii="Century Gothic" w:hAnsi="Century Gothic"/>
            <w:sz w:val="20"/>
          </w:rPr>
          <w:t xml:space="preserve">Page </w:t>
        </w:r>
        <w:r w:rsidRPr="007B0DD6">
          <w:rPr>
            <w:rFonts w:ascii="Century Gothic" w:hAnsi="Century Gothic"/>
            <w:sz w:val="20"/>
          </w:rPr>
          <w:fldChar w:fldCharType="begin"/>
        </w:r>
        <w:r w:rsidRPr="007B0DD6">
          <w:rPr>
            <w:rFonts w:ascii="Century Gothic" w:hAnsi="Century Gothic"/>
            <w:sz w:val="20"/>
          </w:rPr>
          <w:instrText>PAGE   \* MERGEFORMAT</w:instrText>
        </w:r>
        <w:r w:rsidRPr="007B0DD6">
          <w:rPr>
            <w:rFonts w:ascii="Century Gothic" w:hAnsi="Century Gothic"/>
            <w:sz w:val="20"/>
          </w:rPr>
          <w:fldChar w:fldCharType="separate"/>
        </w:r>
        <w:r w:rsidR="003D57BB">
          <w:rPr>
            <w:rFonts w:ascii="Century Gothic" w:hAnsi="Century Gothic"/>
            <w:noProof/>
            <w:sz w:val="20"/>
          </w:rPr>
          <w:t>2</w:t>
        </w:r>
        <w:r w:rsidRPr="007B0DD6">
          <w:rPr>
            <w:rFonts w:ascii="Century Gothic" w:hAnsi="Century Gothic"/>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9858" w14:textId="77777777" w:rsidR="00BB3649" w:rsidRDefault="00BB59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0493" w14:textId="77777777" w:rsidR="0070665A" w:rsidRDefault="0070665A">
      <w:r>
        <w:separator/>
      </w:r>
    </w:p>
  </w:footnote>
  <w:footnote w:type="continuationSeparator" w:id="0">
    <w:p w14:paraId="436CECB3" w14:textId="77777777" w:rsidR="0070665A" w:rsidRDefault="0070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F40E" w14:textId="77777777" w:rsidR="00BB3649" w:rsidRDefault="00BB59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AD60" w14:textId="77777777" w:rsidR="00BB3649" w:rsidRDefault="00BB59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F312" w14:textId="77777777" w:rsidR="00BB3649" w:rsidRDefault="00BB59C3"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43A2"/>
    <w:multiLevelType w:val="hybridMultilevel"/>
    <w:tmpl w:val="C56416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7D73F2"/>
    <w:multiLevelType w:val="hybridMultilevel"/>
    <w:tmpl w:val="0D7CA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452"/>
    <w:rsid w:val="00206452"/>
    <w:rsid w:val="003D57BB"/>
    <w:rsid w:val="003D5ACA"/>
    <w:rsid w:val="005E6D77"/>
    <w:rsid w:val="006C08C5"/>
    <w:rsid w:val="0070665A"/>
    <w:rsid w:val="00AC2309"/>
    <w:rsid w:val="00B862C8"/>
    <w:rsid w:val="00BB59C3"/>
    <w:rsid w:val="00DA1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00E"/>
  <w15:docId w15:val="{F4735783-AE2F-431B-B445-9F0640B0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LT Std 45 Light" w:eastAsiaTheme="minorHAnsi" w:hAnsi="Frutiger LT Std 45 Light"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452"/>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6452"/>
    <w:pPr>
      <w:spacing w:after="200" w:line="276" w:lineRule="auto"/>
      <w:ind w:left="720"/>
      <w:contextualSpacing/>
    </w:pPr>
    <w:rPr>
      <w:rFonts w:ascii="Calibri" w:hAnsi="Calibri"/>
      <w:sz w:val="22"/>
      <w:szCs w:val="22"/>
      <w:lang w:eastAsia="en-US"/>
    </w:rPr>
  </w:style>
  <w:style w:type="paragraph" w:styleId="Kopfzeile">
    <w:name w:val="header"/>
    <w:basedOn w:val="Standard"/>
    <w:link w:val="KopfzeileZchn"/>
    <w:uiPriority w:val="99"/>
    <w:rsid w:val="00206452"/>
    <w:pPr>
      <w:tabs>
        <w:tab w:val="center" w:pos="4536"/>
        <w:tab w:val="right" w:pos="9072"/>
      </w:tabs>
    </w:pPr>
  </w:style>
  <w:style w:type="character" w:customStyle="1" w:styleId="KopfzeileZchn">
    <w:name w:val="Kopfzeile Zchn"/>
    <w:basedOn w:val="Absatz-Standardschriftart"/>
    <w:link w:val="Kopfzeile"/>
    <w:uiPriority w:val="99"/>
    <w:rsid w:val="00206452"/>
    <w:rPr>
      <w:rFonts w:ascii="Times New Roman" w:eastAsia="Times New Roman" w:hAnsi="Times New Roman" w:cs="Times New Roman"/>
      <w:sz w:val="24"/>
      <w:szCs w:val="24"/>
      <w:lang w:eastAsia="de-CH"/>
    </w:rPr>
  </w:style>
  <w:style w:type="paragraph" w:styleId="Fuzeile">
    <w:name w:val="footer"/>
    <w:basedOn w:val="Standard"/>
    <w:link w:val="FuzeileZchn"/>
    <w:uiPriority w:val="99"/>
    <w:rsid w:val="00206452"/>
    <w:pPr>
      <w:tabs>
        <w:tab w:val="center" w:pos="4536"/>
        <w:tab w:val="right" w:pos="9072"/>
      </w:tabs>
    </w:pPr>
    <w:rPr>
      <w:lang w:eastAsia="ja-JP"/>
    </w:rPr>
  </w:style>
  <w:style w:type="character" w:customStyle="1" w:styleId="FuzeileZchn">
    <w:name w:val="Fußzeile Zchn"/>
    <w:basedOn w:val="Absatz-Standardschriftart"/>
    <w:link w:val="Fuzeile"/>
    <w:uiPriority w:val="99"/>
    <w:rsid w:val="00206452"/>
    <w:rPr>
      <w:rFonts w:ascii="Times New Roman" w:eastAsia="Times New Roman" w:hAnsi="Times New Roman" w:cs="Times New Roman"/>
      <w:sz w:val="24"/>
      <w:szCs w:val="24"/>
      <w:lang w:eastAsia="ja-JP"/>
    </w:rPr>
  </w:style>
  <w:style w:type="paragraph" w:styleId="Sprechblasentext">
    <w:name w:val="Balloon Text"/>
    <w:basedOn w:val="Standard"/>
    <w:link w:val="SprechblasentextZchn"/>
    <w:uiPriority w:val="99"/>
    <w:semiHidden/>
    <w:unhideWhenUsed/>
    <w:rsid w:val="00B862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2C8"/>
    <w:rPr>
      <w:rFonts w:ascii="Tahoma" w:eastAsia="Times New Roman"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901</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Jossen Bettina</dc:creator>
  <cp:keywords/>
  <dc:description/>
  <cp:lastModifiedBy>Mauerhofer Nadja</cp:lastModifiedBy>
  <cp:revision>4</cp:revision>
  <dcterms:created xsi:type="dcterms:W3CDTF">2021-06-07T11:48:00Z</dcterms:created>
  <dcterms:modified xsi:type="dcterms:W3CDTF">2021-09-30T09:16:00Z</dcterms:modified>
</cp:coreProperties>
</file>