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82F" w14:textId="6C96EFC6" w:rsidR="007C4EA5" w:rsidRPr="00092132" w:rsidRDefault="00092132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</w:pPr>
      <w:r w:rsidRPr="00092132"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  <w:t>Scheda informativa</w:t>
      </w:r>
    </w:p>
    <w:p w14:paraId="4A43B3AC" w14:textId="77777777" w:rsidR="00526CEC" w:rsidRPr="00092132" w:rsidRDefault="00526CEC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lang w:val="it-CH"/>
        </w:rPr>
      </w:pPr>
    </w:p>
    <w:p w14:paraId="26595264" w14:textId="55982664" w:rsidR="007C4EA5" w:rsidRDefault="00092132" w:rsidP="008B3940">
      <w:pPr>
        <w:spacing w:before="120" w:after="0" w:line="280" w:lineRule="exact"/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</w:pPr>
      <w:r w:rsidRPr="00092132"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  <w:t xml:space="preserve">Apprendimento attraverso l'esperienza personale o </w:t>
      </w:r>
      <w:r w:rsidR="009F73C6"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  <w:t>apprendimento esperienziale</w:t>
      </w:r>
    </w:p>
    <w:p w14:paraId="5B7E7038" w14:textId="77777777" w:rsidR="00092132" w:rsidRPr="00092132" w:rsidRDefault="00092132" w:rsidP="008B3940">
      <w:pPr>
        <w:spacing w:before="120" w:after="0" w:line="280" w:lineRule="exact"/>
        <w:rPr>
          <w:rFonts w:ascii="Century Gothic" w:hAnsi="Century Gothic" w:cstheme="minorHAnsi"/>
          <w:b/>
          <w:color w:val="073450"/>
          <w:lang w:val="it-CH"/>
        </w:rPr>
      </w:pPr>
    </w:p>
    <w:p w14:paraId="4BBA98F9" w14:textId="2A916251" w:rsidR="007C4EA5" w:rsidRPr="008D1457" w:rsidRDefault="00092132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</w:pPr>
      <w:r w:rsidRPr="008D1457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Definizione</w:t>
      </w:r>
    </w:p>
    <w:p w14:paraId="450CD837" w14:textId="3C80B50F" w:rsidR="008D1457" w:rsidRPr="008D1457" w:rsidRDefault="008D1457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Il concetto di apprendimento attraverso l'esperienza personale (più spesso indicato come 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) riflette prospettive pedagogiche chiave, come quella del </w:t>
      </w:r>
      <w:r w:rsidR="005075E0">
        <w:rPr>
          <w:rFonts w:ascii="Century Gothic" w:hAnsi="Century Gothic" w:cstheme="minorHAnsi"/>
          <w:sz w:val="18"/>
          <w:szCs w:val="18"/>
          <w:lang w:val="it-CH"/>
        </w:rPr>
        <w:t>“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fare</w:t>
      </w:r>
      <w:r w:rsidR="005075E0">
        <w:rPr>
          <w:rFonts w:ascii="Century Gothic" w:hAnsi="Century Gothic" w:cstheme="minorHAnsi"/>
          <w:sz w:val="18"/>
          <w:szCs w:val="18"/>
          <w:lang w:val="it-CH"/>
        </w:rPr>
        <w:t>”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attivo o dell'imparare attraverso l'esplorazione. In linea di principio, l'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si riferisce all'apprendimento acquisito </w:t>
      </w:r>
      <w:r w:rsidR="005075E0">
        <w:rPr>
          <w:rFonts w:ascii="Century Gothic" w:hAnsi="Century Gothic" w:cstheme="minorHAnsi"/>
          <w:sz w:val="18"/>
          <w:szCs w:val="18"/>
          <w:lang w:val="it-CH"/>
        </w:rPr>
        <w:t xml:space="preserve">grazie alla 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propria esperienza. Questo è collegato al proprio agire/fare o alla partecipazione diretta a 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eventi</w:t>
      </w:r>
      <w:r w:rsidR="00D7765A"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quotidiani concreti. Le esperienze personali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>delle/degli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 xml:space="preserve">studenti 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sono messe al centro. Il ruolo dell'insegnante cambia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: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da 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«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dispensatore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di informazioni a </w:t>
      </w:r>
      <w:r w:rsidR="001C7A50">
        <w:rPr>
          <w:rFonts w:ascii="Century Gothic" w:hAnsi="Century Gothic" w:cstheme="minorHAnsi"/>
          <w:sz w:val="18"/>
          <w:szCs w:val="18"/>
          <w:lang w:val="it-CH"/>
        </w:rPr>
        <w:t>coordinatore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e mediatore di esperienze significative orientate ai bisogni individuali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 xml:space="preserve">delle/degli </w:t>
      </w:r>
      <w:r w:rsidR="00AF7163">
        <w:rPr>
          <w:rFonts w:ascii="Century Gothic" w:hAnsi="Century Gothic" w:cstheme="minorHAnsi"/>
          <w:sz w:val="18"/>
          <w:szCs w:val="18"/>
          <w:lang w:val="it-CH"/>
        </w:rPr>
        <w:t xml:space="preserve">studenti </w:t>
      </w:r>
      <w:r w:rsidR="00AF7163" w:rsidRPr="008D1457">
        <w:rPr>
          <w:rFonts w:ascii="Century Gothic" w:hAnsi="Century Gothic" w:cstheme="minorHAnsi"/>
          <w:sz w:val="18"/>
          <w:szCs w:val="18"/>
          <w:lang w:val="it-CH"/>
        </w:rPr>
        <w:t>(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Manolis, Burns, Assudani &amp; Chinta, 2013).</w:t>
      </w:r>
    </w:p>
    <w:p w14:paraId="3C5F282A" w14:textId="77777777" w:rsidR="009C588F" w:rsidRPr="008C5599" w:rsidRDefault="009C588F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CH"/>
        </w:rPr>
      </w:pPr>
    </w:p>
    <w:p w14:paraId="10495823" w14:textId="2F59E29D" w:rsidR="007C4EA5" w:rsidRPr="003462F4" w:rsidRDefault="003462F4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</w:pPr>
      <w:r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 xml:space="preserve">Le cose più importanti </w:t>
      </w:r>
      <w:r w:rsidR="009C0FF8"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dell’</w:t>
      </w:r>
      <w:r w:rsidR="009F73C6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apprendimento esperienziale</w:t>
      </w:r>
      <w:r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 xml:space="preserve"> </w:t>
      </w:r>
      <w:r w:rsidR="007C4EA5"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 xml:space="preserve"> </w:t>
      </w:r>
    </w:p>
    <w:p w14:paraId="4DE6973A" w14:textId="4D0809DE" w:rsidR="00266867" w:rsidRDefault="00266867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266867">
        <w:rPr>
          <w:rFonts w:ascii="Century Gothic" w:hAnsi="Century Gothic" w:cstheme="minorHAnsi"/>
          <w:sz w:val="18"/>
          <w:szCs w:val="18"/>
          <w:lang w:val="it-CH"/>
        </w:rPr>
        <w:t xml:space="preserve">La struttura centrale del concetto di 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266867">
        <w:rPr>
          <w:rFonts w:ascii="Century Gothic" w:hAnsi="Century Gothic" w:cstheme="minorHAnsi"/>
          <w:sz w:val="18"/>
          <w:szCs w:val="18"/>
          <w:lang w:val="it-CH"/>
        </w:rPr>
        <w:t xml:space="preserve"> è rappresentata dalle teorie dell'apprendimento e dello sviluppo del 20° secolo, in cui all'esperienza viene attribuito un ruolo centrale. Ci si riferisce al lavoro di Dewey (l'esperienza come base dell'apprendimento), Piaget (costruzione e adattamento delle strutture cognitive sulla base dell'esplorazione attiva), Vygotsky (l'importanza dei processi sociali per l'apprendimento) e Bandura (il ruolo delle aspettative di auto-efficacia e dell'esperienza per l'apprendimento) (cfr. Kolb &amp; Kolb, 2008). </w:t>
      </w:r>
    </w:p>
    <w:p w14:paraId="30B19B62" w14:textId="75624DB6" w:rsidR="007C4EA5" w:rsidRPr="004F26BF" w:rsidRDefault="004F26BF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4F26BF">
        <w:rPr>
          <w:rFonts w:ascii="Century Gothic" w:hAnsi="Century Gothic" w:cstheme="minorHAnsi"/>
          <w:sz w:val="18"/>
          <w:szCs w:val="18"/>
          <w:lang w:val="it-CH"/>
        </w:rPr>
        <w:t>Il centro e il punto di partenza dell'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è la realizzazione attiva di un'esperienza da parte di un individuo. Dewey (1922) caratterizza tale esperienza come segue: </w:t>
      </w:r>
      <w:r>
        <w:rPr>
          <w:rFonts w:ascii="Century Gothic" w:hAnsi="Century Gothic" w:cstheme="minorHAnsi"/>
          <w:sz w:val="18"/>
          <w:szCs w:val="18"/>
          <w:lang w:val="it-CH"/>
        </w:rPr>
        <w:t>u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>n'esperienza contiene un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 xml:space="preserve"> elemento 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>attiv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o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e un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o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passiv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o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. La parte attiva è quella relativa al 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«tentare»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, 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 xml:space="preserve">termine connesso 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allo sperimentare. La parte passiva fa riferimento al 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«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sottostare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: </w:t>
      </w:r>
      <w:r w:rsidR="00A26837">
        <w:rPr>
          <w:rFonts w:ascii="Century Gothic" w:hAnsi="Century Gothic" w:cstheme="minorHAnsi"/>
          <w:sz w:val="18"/>
          <w:szCs w:val="18"/>
          <w:lang w:val="it-CH"/>
        </w:rPr>
        <w:t>«</w:t>
      </w:r>
      <w:r w:rsidR="00A26837" w:rsidRPr="00A26837">
        <w:rPr>
          <w:rFonts w:ascii="Century Gothic" w:hAnsi="Century Gothic" w:cstheme="minorHAnsi"/>
          <w:sz w:val="18"/>
          <w:szCs w:val="18"/>
          <w:lang w:val="it-CH"/>
        </w:rPr>
        <w:t>Quando sperimentiamo qualcosa noi agiamo su di esso, facciamo qualcosa con esso; poi ne soffriamo le conseguenze o sottostiamo ad esse. Facciamo qualcosa all’oggetto e in compenso</w:t>
      </w:r>
      <w:r w:rsidR="008F625B">
        <w:rPr>
          <w:rFonts w:ascii="Century Gothic" w:hAnsi="Century Gothic" w:cstheme="minorHAnsi"/>
          <w:sz w:val="18"/>
          <w:szCs w:val="18"/>
          <w:lang w:val="it-CH"/>
        </w:rPr>
        <w:t xml:space="preserve"> [in cambio n.d.t.]</w:t>
      </w:r>
      <w:r w:rsidR="00A26837" w:rsidRPr="00A26837">
        <w:rPr>
          <w:rFonts w:ascii="Century Gothic" w:hAnsi="Century Gothic" w:cstheme="minorHAnsi"/>
          <w:sz w:val="18"/>
          <w:szCs w:val="18"/>
          <w:lang w:val="it-CH"/>
        </w:rPr>
        <w:t xml:space="preserve"> esso fa qualcosa a noi</w:t>
      </w:r>
      <w:r w:rsidR="00A26837">
        <w:rPr>
          <w:rFonts w:ascii="Century Gothic" w:hAnsi="Century Gothic" w:cstheme="minorHAnsi"/>
          <w:sz w:val="18"/>
          <w:szCs w:val="18"/>
          <w:lang w:val="it-CH"/>
        </w:rPr>
        <w:t xml:space="preserve"> […].» (Dewey, </w:t>
      </w:r>
      <w:r w:rsidR="003910AA">
        <w:rPr>
          <w:rFonts w:ascii="Century Gothic" w:hAnsi="Century Gothic" w:cstheme="minorHAnsi"/>
          <w:sz w:val="18"/>
          <w:szCs w:val="18"/>
          <w:lang w:val="it-CH"/>
        </w:rPr>
        <w:t xml:space="preserve">2012, </w:t>
      </w:r>
      <w:r w:rsidR="00AF7163">
        <w:rPr>
          <w:rFonts w:ascii="Century Gothic" w:hAnsi="Century Gothic" w:cstheme="minorHAnsi"/>
          <w:sz w:val="18"/>
          <w:szCs w:val="18"/>
          <w:lang w:val="it-CH"/>
        </w:rPr>
        <w:t>p. 151)</w:t>
      </w:r>
      <w:r w:rsidR="00A26837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Chi fa collegamenti e </w:t>
      </w:r>
      <w:r w:rsidR="009F73C6" w:rsidRPr="004F26BF">
        <w:rPr>
          <w:rFonts w:ascii="Century Gothic" w:hAnsi="Century Gothic" w:cstheme="minorHAnsi"/>
          <w:sz w:val="18"/>
          <w:szCs w:val="18"/>
          <w:lang w:val="it-CH"/>
        </w:rPr>
        <w:t>riflessioni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su quanto sperimentato </w:t>
      </w:r>
      <w:r w:rsidR="004C3877">
        <w:rPr>
          <w:rFonts w:ascii="Century Gothic" w:hAnsi="Century Gothic" w:cstheme="minorHAnsi"/>
          <w:sz w:val="18"/>
          <w:szCs w:val="18"/>
          <w:lang w:val="it-CH"/>
        </w:rPr>
        <w:t>e avvertito a livello sensoriale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>, costruisce la conoscenza e amplia il repertorio di comportamenti e azioni (Hommel &amp; Mehl-horn, 2017)</w:t>
      </w:r>
      <w:r w:rsidR="007C4EA5" w:rsidRPr="004F26BF">
        <w:rPr>
          <w:rFonts w:ascii="Century Gothic" w:hAnsi="Century Gothic" w:cstheme="minorHAnsi"/>
          <w:sz w:val="18"/>
          <w:szCs w:val="18"/>
          <w:lang w:val="it-CH"/>
        </w:rPr>
        <w:t>.</w:t>
      </w:r>
    </w:p>
    <w:p w14:paraId="4AD93283" w14:textId="4766A343" w:rsidR="009F73C6" w:rsidRPr="00AF7163" w:rsidRDefault="009F73C6" w:rsidP="009F73C6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9F73C6">
        <w:rPr>
          <w:rFonts w:ascii="Century Gothic" w:hAnsi="Century Gothic" w:cstheme="minorHAnsi"/>
          <w:sz w:val="18"/>
          <w:szCs w:val="18"/>
          <w:lang w:val="it-CH"/>
        </w:rPr>
        <w:t xml:space="preserve">La teoria più importante dell'apprendimento esperienziale è stata sviluppata negli anni '80 da David A. Kolb come continuazione del suo lavoro sugli stili di apprendimento (cfr. il modello degli stili di apprendimento di Kolb; Kolb, 1984). La </w:t>
      </w:r>
      <w:r w:rsidR="004C3877">
        <w:rPr>
          <w:rFonts w:ascii="Century Gothic" w:hAnsi="Century Gothic" w:cstheme="minorHAnsi"/>
          <w:sz w:val="18"/>
          <w:szCs w:val="18"/>
          <w:lang w:val="it-CH"/>
        </w:rPr>
        <w:t>«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Teoria dell'apprendimento esperienziale</w:t>
      </w:r>
      <w:r w:rsidR="004C3877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 xml:space="preserve"> di Kolb si basa sulle seguenti sei tesi (es. </w:t>
      </w:r>
      <w:r w:rsidRPr="00AF7163">
        <w:rPr>
          <w:rFonts w:ascii="Century Gothic" w:hAnsi="Century Gothic" w:cstheme="minorHAnsi"/>
          <w:sz w:val="18"/>
          <w:szCs w:val="18"/>
          <w:lang w:val="it-CH"/>
        </w:rPr>
        <w:t>Kolb &amp; Kolb, 2008):</w:t>
      </w:r>
    </w:p>
    <w:p w14:paraId="37313EF6" w14:textId="77777777" w:rsid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9F73C6">
        <w:rPr>
          <w:rFonts w:ascii="Century Gothic" w:hAnsi="Century Gothic" w:cstheme="minorHAnsi"/>
          <w:sz w:val="18"/>
          <w:szCs w:val="18"/>
          <w:lang w:val="it-CH"/>
        </w:rPr>
        <w:t>l'apprendimento deve essere inteso come un processo e non in termini di risultati.</w:t>
      </w:r>
    </w:p>
    <w:p w14:paraId="3741C03E" w14:textId="55EB7731" w:rsidR="009F73C6" w:rsidRP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>L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'apprendimento è un processo continuo basato sull'esperienza.</w:t>
      </w:r>
    </w:p>
    <w:p w14:paraId="7078DA8B" w14:textId="6B28D5B6" w:rsidR="009F73C6" w:rsidRP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>L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'apprendimento richiede di affrontare modalità di adattamento al mondo diverse e opposte: riflettere, agire, sentire, pensare.</w:t>
      </w:r>
    </w:p>
    <w:p w14:paraId="4F30539E" w14:textId="7A334F4C" w:rsidR="00AF3612" w:rsidRP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>L’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apprendimento è un processo olistico di adattamento e si riferisce all'intera persona, non solo al pensiero.</w:t>
      </w:r>
    </w:p>
    <w:p w14:paraId="6E853089" w14:textId="39C97EAB" w:rsidR="00472B9E" w:rsidRPr="00422F91" w:rsidRDefault="00472B9E" w:rsidP="00AF3612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L'apprendimento è il risultato di processi di scambio sinergico tra la persona e il suo ambiente. 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«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Il modo in cui elaboriamo le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possibilità</w:t>
      </w:r>
      <w:r w:rsidR="00500F1A"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di ogni nuova esperienza determina la gamma di scelte e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lastRenderedPageBreak/>
        <w:t xml:space="preserve">decisioni che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vediamo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. Le scelte e le decisioni che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adottiamo</w:t>
      </w:r>
      <w:r w:rsidR="00500F1A"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determinano in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una certa</w:t>
      </w:r>
      <w:r w:rsidR="00500F1A"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>misura gli eventi che viviamo, e questi eventi influenzano le nostre decisioni future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(Kolb &amp; Kolb, 2008, p. 44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; trad</w:t>
      </w:r>
      <w:r w:rsidR="00AC0BDF">
        <w:rPr>
          <w:rFonts w:ascii="Century Gothic" w:hAnsi="Century Gothic" w:cstheme="minorHAnsi"/>
          <w:sz w:val="18"/>
          <w:szCs w:val="18"/>
          <w:lang w:val="it-CH"/>
        </w:rPr>
        <w:t>.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AC0BDF">
        <w:rPr>
          <w:rFonts w:ascii="Century Gothic" w:hAnsi="Century Gothic" w:cstheme="minorHAnsi"/>
          <w:sz w:val="18"/>
          <w:szCs w:val="18"/>
          <w:lang w:val="it-CH"/>
        </w:rPr>
        <w:t>d. A.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>).</w:t>
      </w:r>
    </w:p>
    <w:p w14:paraId="3C6A6600" w14:textId="51F6CB0E" w:rsidR="007C4EA5" w:rsidRPr="00472B9E" w:rsidRDefault="00472B9E" w:rsidP="00472B9E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472B9E">
        <w:rPr>
          <w:rFonts w:ascii="Century Gothic" w:hAnsi="Century Gothic" w:cstheme="minorHAnsi"/>
          <w:sz w:val="18"/>
          <w:szCs w:val="18"/>
          <w:lang w:val="it-CH"/>
        </w:rPr>
        <w:t xml:space="preserve">L'apprendimento è il processo di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costruzione</w:t>
      </w:r>
      <w:r w:rsidR="00500F1A" w:rsidRPr="00472B9E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72B9E">
        <w:rPr>
          <w:rFonts w:ascii="Century Gothic" w:hAnsi="Century Gothic" w:cstheme="minorHAnsi"/>
          <w:sz w:val="18"/>
          <w:szCs w:val="18"/>
          <w:lang w:val="it-CH"/>
        </w:rPr>
        <w:t xml:space="preserve">della conoscenza. Questo corrisponde a una visione costruttivista dell'apprendimento: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l</w:t>
      </w:r>
      <w:r w:rsidRPr="00472B9E">
        <w:rPr>
          <w:rFonts w:ascii="Century Gothic" w:hAnsi="Century Gothic" w:cstheme="minorHAnsi"/>
          <w:sz w:val="18"/>
          <w:szCs w:val="18"/>
          <w:lang w:val="it-CH"/>
        </w:rPr>
        <w:t>a conoscenza (sociale) è (ri)costruita nell'interazione con altre persone</w:t>
      </w:r>
      <w:r w:rsidR="007C4EA5" w:rsidRPr="00472B9E">
        <w:rPr>
          <w:rFonts w:ascii="Century Gothic" w:hAnsi="Century Gothic" w:cstheme="minorHAnsi"/>
          <w:sz w:val="18"/>
          <w:szCs w:val="18"/>
          <w:lang w:val="it-CH"/>
        </w:rPr>
        <w:t xml:space="preserve">.  </w:t>
      </w:r>
    </w:p>
    <w:p w14:paraId="7EFCB050" w14:textId="2C42AD5C" w:rsidR="007C4EA5" w:rsidRPr="009C4BA0" w:rsidRDefault="009C4BA0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9C4BA0">
        <w:rPr>
          <w:rFonts w:ascii="Century Gothic" w:hAnsi="Century Gothic" w:cstheme="minorHAnsi"/>
          <w:sz w:val="18"/>
          <w:szCs w:val="18"/>
          <w:lang w:val="it-CH"/>
        </w:rPr>
        <w:t xml:space="preserve">L'apprendimento dall'esperienza è presentato nella teoria di Kolb come un ciclo caratterizzato da fasi successive (vedi figura 1). Le esperienze dirette e concrete costituiscono la base delle osservazioni e delle riflessioni. Queste riflessioni sono assimilate e condensate in concetti astratti. Da questi concetti astratti si possono derivare conseguenze per ulteriori azioni, che a loro volta possono essere verificate attraverso la sperimentazione attiva e servire come indicazioni per la 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strutturazione</w:t>
      </w:r>
      <w:r w:rsidR="008C0573" w:rsidRPr="009C4BA0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9C4BA0">
        <w:rPr>
          <w:rFonts w:ascii="Century Gothic" w:hAnsi="Century Gothic" w:cstheme="minorHAnsi"/>
          <w:sz w:val="18"/>
          <w:szCs w:val="18"/>
          <w:lang w:val="it-CH"/>
        </w:rPr>
        <w:t>di nuove esperienze. Così il ciclo si ripete. L'apprendimento è quindi inteso come un processo ricorsivo e cumulativo in cui la conoscenza si costruisce attraverso la trasformazione dell'esperienza.</w:t>
      </w:r>
    </w:p>
    <w:p w14:paraId="3F04E0FA" w14:textId="0E4490E6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3937B0A9" w14:textId="77776E5D" w:rsidR="007C4EA5" w:rsidRPr="009C4BA0" w:rsidRDefault="0062751C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2CFC3" wp14:editId="2CDE8C70">
            <wp:simplePos x="0" y="0"/>
            <wp:positionH relativeFrom="column">
              <wp:posOffset>752788</wp:posOffset>
            </wp:positionH>
            <wp:positionV relativeFrom="paragraph">
              <wp:posOffset>47048</wp:posOffset>
            </wp:positionV>
            <wp:extent cx="3957320" cy="1728470"/>
            <wp:effectExtent l="0" t="0" r="5080" b="5080"/>
            <wp:wrapThrough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/>
                    <a:stretch/>
                  </pic:blipFill>
                  <pic:spPr bwMode="auto">
                    <a:xfrm>
                      <a:off x="0" y="0"/>
                      <a:ext cx="3957320" cy="17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1511" w14:textId="6260518C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7B120690" w14:textId="4B704199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7D92B6E6" w14:textId="6273C17A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007F87AD" w14:textId="2D0ECD09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37849D8A" w14:textId="44523F03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398BCC75" w14:textId="4EC61329" w:rsidR="009D4CB3" w:rsidRPr="009C4BA0" w:rsidRDefault="009D4CB3" w:rsidP="009D4CB3">
      <w:pPr>
        <w:spacing w:before="120" w:after="0" w:line="280" w:lineRule="exact"/>
        <w:jc w:val="center"/>
        <w:rPr>
          <w:rFonts w:ascii="Century Gothic" w:hAnsi="Century Gothic" w:cstheme="minorHAnsi"/>
          <w:sz w:val="18"/>
          <w:szCs w:val="18"/>
          <w:lang w:val="it-CH"/>
        </w:rPr>
      </w:pPr>
    </w:p>
    <w:p w14:paraId="0EF51451" w14:textId="77777777" w:rsidR="009D4CB3" w:rsidRPr="009C4BA0" w:rsidRDefault="009D4CB3" w:rsidP="009D4CB3">
      <w:pPr>
        <w:spacing w:before="120" w:after="0" w:line="280" w:lineRule="exact"/>
        <w:jc w:val="center"/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</w:pPr>
    </w:p>
    <w:p w14:paraId="4DE49346" w14:textId="5D936DC1" w:rsidR="007C4EA5" w:rsidRPr="009C4BA0" w:rsidRDefault="009C4BA0" w:rsidP="009D4CB3">
      <w:pPr>
        <w:spacing w:before="120" w:after="0" w:line="280" w:lineRule="exact"/>
        <w:jc w:val="center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  <w:r w:rsidRPr="009C4BA0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 xml:space="preserve">Fig. 1: Il modello ciclico dell'apprendimento esperienziale come ciclo di apprendimento </w:t>
      </w:r>
      <w:r w:rsidR="00AC0BDF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>basato su esperienze</w:t>
      </w:r>
      <w:r w:rsidRPr="009C4BA0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>.</w:t>
      </w:r>
      <w:r w:rsidR="007C4EA5" w:rsidRPr="009C4BA0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br/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(</w:t>
      </w:r>
      <w:r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secondo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Morris, 2019,</w:t>
      </w:r>
      <w:r w:rsidR="00422F91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</w:t>
      </w:r>
      <w:r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p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.</w:t>
      </w:r>
      <w:r w:rsidR="0075056B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 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7;</w:t>
      </w:r>
      <w:r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</w:t>
      </w:r>
      <w:r w:rsidR="00AC0BDF">
        <w:rPr>
          <w:rFonts w:ascii="Century Gothic" w:hAnsi="Century Gothic" w:cstheme="minorHAnsi"/>
          <w:sz w:val="18"/>
          <w:szCs w:val="18"/>
          <w:lang w:val="it-CH"/>
        </w:rPr>
        <w:t>trad. d. A.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)</w:t>
      </w:r>
    </w:p>
    <w:p w14:paraId="39969229" w14:textId="116F04AB" w:rsidR="00955291" w:rsidRDefault="00DD29EB" w:rsidP="008C5599">
      <w:pPr>
        <w:spacing w:before="120" w:after="0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DD29EB">
        <w:rPr>
          <w:rFonts w:ascii="Century Gothic" w:hAnsi="Century Gothic" w:cstheme="minorHAnsi"/>
          <w:sz w:val="18"/>
          <w:szCs w:val="18"/>
          <w:lang w:val="it-CH"/>
        </w:rPr>
        <w:t xml:space="preserve">Morris (2019) ha raffinato il modello del ciclo sulla base di un'analisi completa della letteratura esistente, evidenziando l'importanza di un apprendimento situato e legato al contesto (vedi </w:t>
      </w:r>
      <w:r>
        <w:rPr>
          <w:rFonts w:ascii="Century Gothic" w:hAnsi="Century Gothic" w:cstheme="minorHAnsi"/>
          <w:sz w:val="18"/>
          <w:szCs w:val="18"/>
          <w:lang w:val="it-CH"/>
        </w:rPr>
        <w:t>f</w:t>
      </w:r>
      <w:r w:rsidRPr="00DD29EB">
        <w:rPr>
          <w:rFonts w:ascii="Century Gothic" w:hAnsi="Century Gothic" w:cstheme="minorHAnsi"/>
          <w:sz w:val="18"/>
          <w:szCs w:val="18"/>
          <w:lang w:val="it-CH"/>
        </w:rPr>
        <w:t xml:space="preserve">igura 1). Così, si dovrebbero fare esperienze </w:t>
      </w:r>
      <w:r w:rsidR="00036470">
        <w:rPr>
          <w:rFonts w:ascii="Century Gothic" w:hAnsi="Century Gothic" w:cstheme="minorHAnsi"/>
          <w:sz w:val="18"/>
          <w:szCs w:val="18"/>
          <w:lang w:val="it-CH"/>
        </w:rPr>
        <w:t xml:space="preserve">contestualmente </w:t>
      </w:r>
      <w:r w:rsidRPr="00DD29EB">
        <w:rPr>
          <w:rFonts w:ascii="Century Gothic" w:hAnsi="Century Gothic" w:cstheme="minorHAnsi"/>
          <w:sz w:val="18"/>
          <w:szCs w:val="18"/>
          <w:lang w:val="it-CH"/>
        </w:rPr>
        <w:t xml:space="preserve">ricche, riflettere criticamente su di esse, concettualizzarle in modo specifico rispetto al contesto e trasferirle in una sperimentazione </w:t>
      </w:r>
      <w:r w:rsidR="00036470" w:rsidRPr="00DD29EB">
        <w:rPr>
          <w:rFonts w:ascii="Century Gothic" w:hAnsi="Century Gothic" w:cstheme="minorHAnsi"/>
          <w:sz w:val="18"/>
          <w:szCs w:val="18"/>
          <w:lang w:val="it-CH"/>
        </w:rPr>
        <w:t>pra</w:t>
      </w:r>
      <w:r w:rsidR="00036470">
        <w:rPr>
          <w:rFonts w:ascii="Century Gothic" w:hAnsi="Century Gothic" w:cstheme="minorHAnsi"/>
          <w:sz w:val="18"/>
          <w:szCs w:val="18"/>
          <w:lang w:val="it-CH"/>
        </w:rPr>
        <w:t>tica</w:t>
      </w:r>
      <w:r w:rsidR="00036470" w:rsidRPr="00DD29EB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DD29EB">
        <w:rPr>
          <w:rFonts w:ascii="Century Gothic" w:hAnsi="Century Gothic" w:cstheme="minorHAnsi"/>
          <w:sz w:val="18"/>
          <w:szCs w:val="18"/>
          <w:lang w:val="it-CH"/>
        </w:rPr>
        <w:t>e attiva</w:t>
      </w:r>
      <w:r w:rsidR="00955291">
        <w:rPr>
          <w:rFonts w:ascii="Century Gothic" w:hAnsi="Century Gothic" w:cstheme="minorHAnsi"/>
          <w:sz w:val="18"/>
          <w:szCs w:val="18"/>
          <w:lang w:val="it-CH"/>
        </w:rPr>
        <w:t>.</w:t>
      </w:r>
    </w:p>
    <w:p w14:paraId="08163FE6" w14:textId="6071F4E0" w:rsidR="00DD29EB" w:rsidRPr="00955291" w:rsidRDefault="00DD29EB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0EE96ECC" w14:textId="7B822CCE" w:rsidR="002B535F" w:rsidRPr="00955291" w:rsidRDefault="00955291" w:rsidP="008C5599">
      <w:pPr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Gli studi sugli effetti dell'apprendimento esperienziale si trovano principalmente in contesti di apprendimento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non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sc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olastici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come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l'apprendimento extracurricolare, la terapia d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ell'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avventura, l'apprendimento in musei/siti storici, l'apprendimento nella natura o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l'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esperienza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del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mondo del lavoro, ad esempio nel contesto degli stage (Morris, 2019).</w:t>
      </w:r>
      <w:r w:rsidR="002B535F" w:rsidRPr="00955291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br w:type="page"/>
      </w:r>
    </w:p>
    <w:p w14:paraId="2C4C39CA" w14:textId="37C0B0A8" w:rsidR="007C4EA5" w:rsidRPr="008C5599" w:rsidRDefault="008C5599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8C5599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  <w:lastRenderedPageBreak/>
        <w:t xml:space="preserve">Lo studio di </w:t>
      </w:r>
      <w:r w:rsidR="007C4EA5" w:rsidRPr="008C5599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  <w:t>Collins, Sibthorp und Gookin (2016)</w:t>
      </w:r>
    </w:p>
    <w:p w14:paraId="38BBF56E" w14:textId="741AE2BC" w:rsidR="008C5599" w:rsidRPr="008C5599" w:rsidRDefault="008C5599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Collins, Sibthorp e Gookin 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si sono </w:t>
      </w:r>
      <w:r w:rsidR="00A4326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chiesti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se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l'educazione all'aperto </w:t>
      </w:r>
      <w:r w:rsidR="00BE59DC" w:rsidRP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(«wilderness education») 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abbia un effetto positivo sulla capacità di risolvere problemi poco strutturati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BE59DC" w:rsidRP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(«ill-structured problems»)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Hanno osservato che in una società sempre più diversificata, complessa e dinamica e considerando il cambiamento del mondo del lavoro, è necessario un pensiero sempre più creativo, innovativo e flessibile. Mentre nel contesto scolastico la maggior parte dei problemi sono ben strutturati e le corrispondenti strategie di risoluzione coinvolgono solo l'applicazione di un numero limitato di regole e principi specifici del settore, nel mondo </w:t>
      </w:r>
      <w:r w:rsidR="00BE59DC"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extra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scolastico</w:t>
      </w:r>
      <w:r w:rsidR="00BE59DC"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troviamo spesso problemi mal strutturati caratterizzati dal fatto che: (a) non sono chiaramente definiti, (b) non c'è una sola soluzione possibile, (c) ci sono diversi criteri con cui una soluzione può essere </w:t>
      </w:r>
      <w:r w:rsidR="00DD4E0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esaminata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, (d) sono rilevanti per il contesto e dipendenti dal contesto, (e) l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'obiettivo e i passi per raggiungerlo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(Zielzustand) sono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solo vagamente definit</w:t>
      </w:r>
      <w:r w:rsidR="00DD4E0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Di conseguenza, per risolvere tali problemi sono necessarie creatività, tolleranza alla novità e flessibilità cognitiva. </w:t>
      </w:r>
    </w:p>
    <w:p w14:paraId="0ED19254" w14:textId="0F302245" w:rsidR="00930506" w:rsidRDefault="00930506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P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er imparare a risolvere problemi mal strutturati, sono fondamentali gli elementi seguenti: (1) </w:t>
      </w:r>
      <w:r w:rsidR="00DD4E0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contesti </w:t>
      </w:r>
      <w:r w:rsidR="00696E1A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significativi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che stimolano la risoluzione pratica di problemi reali; (2) la creazione di un disequilibrio </w:t>
      </w:r>
      <w:r w:rsidR="00A43262"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cognitivo; (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3) ambienti di apprendimento dove vi sia sostegno e collaborazione. Tali condizioni si trovano, per esempio, nell'educazione all'aperto. Di conseguenza, Collins et al. hanno </w:t>
      </w:r>
      <w:r w:rsidR="003F08B3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confrontato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le/gli 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che completano un programma di educazione alla leadership (comunicazione, processo decisionale, risoluzione dei conflitti, ecc.) all'aperto </w:t>
      </w:r>
      <w:r w:rsidR="00A4326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con </w:t>
      </w:r>
      <w:r w:rsidR="00A43262"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/gli 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che completano lo stesso programma nel contesto tradizionale </w:t>
      </w: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“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aula universitaria</w:t>
      </w: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”</w:t>
      </w:r>
      <w:r w:rsidR="003F08B3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per capire se i primi </w:t>
      </w:r>
      <w:r w:rsidR="003F08B3"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sono in grado di risolvere meglio problemi poco strutturati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</w:t>
      </w:r>
    </w:p>
    <w:p w14:paraId="36BB543D" w14:textId="3492DB21" w:rsidR="003F0E9E" w:rsidRPr="003F0E9E" w:rsidRDefault="003F0E9E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Nell’ambito di un esperimento, 91 studenti del gruppo sperimentale 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hanno seguito un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corso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universitario semestrare </w:t>
      </w:r>
      <w:r w:rsidR="003C63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leadership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. L'esperimento prevedeva che il corso fosse impartito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durante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una spedizione della durata di 75-90 giorni.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Le/g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li studenti </w:t>
      </w:r>
      <w:r w:rsidR="00A4326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suddivisi in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gruppi di 12-16 partecipanti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viaggiavano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insieme e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svolgevano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diverse attività (</w:t>
      </w:r>
      <w:r w:rsidR="006C0B7E" w:rsidRP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escursioni, kayak, ecc.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)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Sono inoltre stati confrontati con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molti problemi mal strutturati 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come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l'allestimento di un campo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che funzionasse</w:t>
      </w:r>
      <w:r w:rsidR="003C7750"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indipendentemente dalle</w:t>
      </w:r>
      <w:r w:rsidR="004C4565"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condizion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</w:t>
      </w:r>
      <w:r w:rsidR="00043C4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meteorologic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h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Il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programma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del corso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 leadership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prevedeva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invec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 che fossero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confrontati solo con problemi ben strutturati. Il gruppo di controllo di 65 studenti ha completato lo stesso programma all'università, </w:t>
      </w:r>
      <w:r w:rsidR="00043C4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quindi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senza uscire. I problemi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proposti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n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el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corso </w:t>
      </w:r>
      <w:r w:rsidR="003C63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leadership erano però identici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Il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corso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aveva la stessa durata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per entrambi i gruppi. Entrambi i gruppi hanno lavorato su un problema mal strutturato prima e 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su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uno dopo il corso. Sono stati misurati la qualità dell'identificazione 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 problema, le proposte di soluzione sviluppate, le spiegazioni delle proposte di soluzione, la valutazione delle proposte di soluzione e il consiglio che darebbero a qualcun altro per risolvere il problema. </w:t>
      </w:r>
    </w:p>
    <w:p w14:paraId="19BA628F" w14:textId="073AE0D6" w:rsidR="007C4EA5" w:rsidRPr="009F7218" w:rsidRDefault="009F7218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I risultati hanno </w:t>
      </w:r>
      <w:r w:rsidR="00043C41"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rivelato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che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le/gli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che avevano completato il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corso </w:t>
      </w:r>
      <w:r w:rsidR="003C63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leadership all'aperto, hanno mostrato un aumento significativo nella capacità di risolvere problemi poco strutturati. Questo era vero per tutt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 le dimensioni della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qualità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misurate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Le/gli</w:t>
      </w:r>
      <w:r w:rsidR="00AB117F"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del gruppo di controllo (che hanno lavorato nel contesto aula universitaria) non hanno mostrato un tale aumento, anche se avevano completato lo stesso programma di leadership e avevano lavorato in gruppo. Gli autori </w:t>
      </w:r>
      <w:r w:rsidR="00F1006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e le autrici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hanno concluso che ad </w:t>
      </w:r>
      <w:r w:rsidR="00043C41"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essere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responsabile di questo effetto di apprendimento </w:t>
      </w:r>
      <w:r w:rsidR="00D964C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n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el gruppo sperimentale è stat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o l'aver vissuto molte esperienze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pratic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he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, </w:t>
      </w:r>
      <w:r w:rsidR="00F1006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svolto attività pratiche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e l</w:t>
      </w:r>
      <w:r w:rsidR="00F1006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'aver costruito attivamente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la conoscenza durante la risoluzione di problemi poco strutturati, rilevanti e attuali.  </w:t>
      </w:r>
    </w:p>
    <w:p w14:paraId="1E63BFB3" w14:textId="40797A68" w:rsidR="002B535F" w:rsidRPr="009F7218" w:rsidRDefault="002B535F">
      <w:pPr>
        <w:rPr>
          <w:rFonts w:ascii="Century Gothic" w:hAnsi="Century Gothic" w:cstheme="minorHAnsi"/>
          <w:b/>
          <w:i/>
          <w:color w:val="073450"/>
          <w:sz w:val="18"/>
          <w:szCs w:val="18"/>
          <w:lang w:val="it-CH"/>
        </w:rPr>
      </w:pPr>
      <w:r w:rsidRPr="009F7218">
        <w:rPr>
          <w:rFonts w:ascii="Century Gothic" w:hAnsi="Century Gothic" w:cstheme="minorHAnsi"/>
          <w:b/>
          <w:i/>
          <w:color w:val="073450"/>
          <w:sz w:val="18"/>
          <w:szCs w:val="18"/>
          <w:lang w:val="it-CH"/>
        </w:rPr>
        <w:br w:type="page"/>
      </w:r>
    </w:p>
    <w:p w14:paraId="73BDEEE5" w14:textId="14A7C0E9" w:rsidR="007C4EA5" w:rsidRPr="00631811" w:rsidRDefault="00631811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</w:pPr>
      <w:r w:rsidRPr="00631811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lastRenderedPageBreak/>
        <w:t xml:space="preserve">Apprendimento esperienziale nell'ambito del programma </w:t>
      </w:r>
      <w:r w:rsidR="007C4EA5" w:rsidRPr="00631811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myidea</w:t>
      </w:r>
    </w:p>
    <w:p w14:paraId="5882C239" w14:textId="35304282" w:rsidR="007C4EA5" w:rsidRPr="00631811" w:rsidRDefault="009623B1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noProof/>
          <w:sz w:val="20"/>
          <w:szCs w:val="20"/>
          <w:lang w:val="it-CH"/>
        </w:rPr>
        <w:drawing>
          <wp:anchor distT="0" distB="0" distL="114300" distR="114300" simplePos="0" relativeHeight="251660288" behindDoc="0" locked="0" layoutInCell="1" allowOverlap="1" wp14:anchorId="06FB7979" wp14:editId="51CB825D">
            <wp:simplePos x="0" y="0"/>
            <wp:positionH relativeFrom="column">
              <wp:posOffset>106045</wp:posOffset>
            </wp:positionH>
            <wp:positionV relativeFrom="page">
              <wp:posOffset>2529840</wp:posOffset>
            </wp:positionV>
            <wp:extent cx="5653405" cy="416560"/>
            <wp:effectExtent l="0" t="0" r="4445" b="2540"/>
            <wp:wrapTopAndBottom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 w:cstheme="minorHAnsi"/>
          <w:noProof/>
          <w:sz w:val="20"/>
          <w:szCs w:val="20"/>
          <w:lang w:val="it-CH"/>
        </w:rPr>
        <w:drawing>
          <wp:anchor distT="0" distB="0" distL="114300" distR="114300" simplePos="0" relativeHeight="251659264" behindDoc="0" locked="0" layoutInCell="1" allowOverlap="1" wp14:anchorId="4DCF242A" wp14:editId="6B47D151">
            <wp:simplePos x="0" y="0"/>
            <wp:positionH relativeFrom="column">
              <wp:posOffset>60960</wp:posOffset>
            </wp:positionH>
            <wp:positionV relativeFrom="page">
              <wp:posOffset>2199640</wp:posOffset>
            </wp:positionV>
            <wp:extent cx="5699125" cy="2489200"/>
            <wp:effectExtent l="0" t="0" r="0" b="635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811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Un caposaldo del programma myidea è l'apprendimento esperienziale. L'esperienza personale attraversa tutti i moduli. La figura 2 mostra gli elementi più importanti della esperienza personale. Gli aspetti in </w:t>
      </w:r>
      <w:r w:rsidR="00A81DC2">
        <w:rPr>
          <w:rFonts w:ascii="Century Gothic" w:hAnsi="Century Gothic" w:cstheme="minorHAnsi"/>
          <w:sz w:val="18"/>
          <w:szCs w:val="18"/>
          <w:lang w:val="it-CH"/>
        </w:rPr>
        <w:t>pink</w:t>
      </w:r>
      <w:r w:rsidR="00A81DC2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631811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sono quelli che permettono </w:t>
      </w:r>
      <w:r w:rsidR="00D964CE">
        <w:rPr>
          <w:rFonts w:ascii="Century Gothic" w:hAnsi="Century Gothic" w:cstheme="minorHAnsi"/>
          <w:sz w:val="18"/>
          <w:szCs w:val="18"/>
          <w:lang w:val="it-CH"/>
        </w:rPr>
        <w:t xml:space="preserve">alle e </w:t>
      </w:r>
      <w:r w:rsidR="00631811" w:rsidRPr="00631811">
        <w:rPr>
          <w:rFonts w:ascii="Century Gothic" w:hAnsi="Century Gothic" w:cstheme="minorHAnsi"/>
          <w:sz w:val="18"/>
          <w:szCs w:val="18"/>
          <w:lang w:val="it-CH"/>
        </w:rPr>
        <w:t>agli studenti di uscire, cioè lasciare l'aula (e di solito la scuola).</w:t>
      </w:r>
      <w:r w:rsidR="007C4EA5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</w:p>
    <w:p w14:paraId="208F366D" w14:textId="3F8502A8" w:rsidR="00122403" w:rsidRPr="00815661" w:rsidRDefault="00122403" w:rsidP="00122403">
      <w:pPr>
        <w:pBdr>
          <w:bottom w:val="single" w:sz="4" w:space="1" w:color="auto"/>
        </w:pBdr>
        <w:spacing w:before="120" w:after="0" w:line="280" w:lineRule="exact"/>
        <w:jc w:val="center"/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</w:pPr>
      <w:r w:rsidRPr="00815661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>Fig. 2: Esperienza personale continua nell'ambito del programma myidea secondo i moduli</w:t>
      </w:r>
    </w:p>
    <w:p w14:paraId="6A63EC6D" w14:textId="4D65F239" w:rsidR="007C4EA5" w:rsidRPr="00815661" w:rsidRDefault="00A43262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815661">
        <w:rPr>
          <w:rFonts w:ascii="Century Gothic" w:hAnsi="Century Gothic" w:cstheme="minorHAnsi"/>
          <w:sz w:val="18"/>
          <w:szCs w:val="18"/>
          <w:lang w:val="it-CH"/>
        </w:rPr>
        <w:t xml:space="preserve">Un </w:t>
      </w:r>
      <w:r>
        <w:rPr>
          <w:rFonts w:ascii="Century Gothic" w:hAnsi="Century Gothic" w:cstheme="minorHAnsi"/>
          <w:sz w:val="18"/>
          <w:szCs w:val="18"/>
          <w:lang w:val="it-CH"/>
        </w:rPr>
        <w:t>momento</w:t>
      </w:r>
      <w:r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importante dell’esperienza personale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9B1F72">
        <w:rPr>
          <w:rFonts w:ascii="Century Gothic" w:hAnsi="Century Gothic" w:cstheme="minorHAnsi"/>
          <w:sz w:val="18"/>
          <w:szCs w:val="18"/>
          <w:lang w:val="it-CH"/>
        </w:rPr>
        <w:t>è quando le persone in formazione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lasciano l'aula e la scuola, </w:t>
      </w:r>
      <w:r w:rsidR="009B1F72">
        <w:rPr>
          <w:rFonts w:ascii="Century Gothic" w:hAnsi="Century Gothic" w:cstheme="minorHAnsi"/>
          <w:sz w:val="18"/>
          <w:szCs w:val="18"/>
          <w:lang w:val="it-CH"/>
        </w:rPr>
        <w:t>per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testare il MVP ("Minimum Viable Product"), cioè la versione del loro prodotto o servizio che non è ancora matura ma possiede le funzionalità principali. Testare il MVP </w:t>
      </w:r>
      <w:r w:rsidR="009B1F72">
        <w:rPr>
          <w:rFonts w:ascii="Century Gothic" w:hAnsi="Century Gothic" w:cstheme="minorHAnsi"/>
          <w:sz w:val="18"/>
          <w:szCs w:val="18"/>
          <w:lang w:val="it-CH"/>
        </w:rPr>
        <w:t>permette di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815661">
        <w:rPr>
          <w:rFonts w:ascii="Century Gothic" w:hAnsi="Century Gothic" w:cstheme="minorHAnsi"/>
          <w:sz w:val="18"/>
          <w:szCs w:val="18"/>
          <w:lang w:val="it-CH"/>
        </w:rPr>
        <w:t>raccogl</w:t>
      </w:r>
      <w:r>
        <w:rPr>
          <w:rFonts w:ascii="Century Gothic" w:hAnsi="Century Gothic" w:cstheme="minorHAnsi"/>
          <w:sz w:val="18"/>
          <w:szCs w:val="18"/>
          <w:lang w:val="it-CH"/>
        </w:rPr>
        <w:t>iere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i feedback di potenziali clienti, esperti o possibili partner commerciali. Il feedback viene utilizzato per verificare l'idoneità del MVP e per migliorarlo e svilupparlo. </w:t>
      </w:r>
      <w:r w:rsidR="0015647F">
        <w:rPr>
          <w:rFonts w:ascii="Century Gothic" w:hAnsi="Century Gothic" w:cstheme="minorHAnsi"/>
          <w:sz w:val="18"/>
          <w:szCs w:val="18"/>
          <w:lang w:val="it-CH"/>
        </w:rPr>
        <w:t>La persona in formazione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passa così attraverso il processo ciclico di esperienza </w:t>
      </w:r>
      <w:r w:rsidR="00204263">
        <w:rPr>
          <w:rFonts w:ascii="Century Gothic" w:hAnsi="Century Gothic" w:cstheme="minorHAnsi"/>
          <w:sz w:val="18"/>
          <w:szCs w:val="18"/>
          <w:lang w:val="it-CH"/>
        </w:rPr>
        <w:t xml:space="preserve">concreta 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(raccolta di feedback), osservazione </w:t>
      </w:r>
      <w:r w:rsidR="00204263">
        <w:rPr>
          <w:rFonts w:ascii="Century Gothic" w:hAnsi="Century Gothic" w:cstheme="minorHAnsi"/>
          <w:sz w:val="18"/>
          <w:szCs w:val="18"/>
          <w:lang w:val="it-CH"/>
        </w:rPr>
        <w:t>riflessiva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(dare un senso al feedback raccolto), concettualizzazione astratta (derivare ipotesi di miglioramento) e sperimentazione </w:t>
      </w:r>
      <w:r w:rsidR="00204263">
        <w:rPr>
          <w:rFonts w:ascii="Century Gothic" w:hAnsi="Century Gothic" w:cstheme="minorHAnsi"/>
          <w:sz w:val="18"/>
          <w:szCs w:val="18"/>
          <w:lang w:val="it-CH"/>
        </w:rPr>
        <w:t xml:space="preserve">attiva 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>(implementare il miglioramento) mostrato nella figura 1. Se guardiamo lo sviluppo dell'idea imprenditoriale nel suo insieme, vediamo che questo processo ciclico si ripete, ogni volta con un focus diverso.</w:t>
      </w:r>
      <w:r w:rsidR="007C4EA5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</w:p>
    <w:p w14:paraId="1671F8B4" w14:textId="1FF4927F" w:rsidR="007C4EA5" w:rsidRPr="00E9750A" w:rsidRDefault="00E9750A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Proprio in una versione abbreviata del programma myidea, quando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l'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>insegnant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e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non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riescono</w:t>
      </w:r>
      <w:r w:rsidR="00EB224F"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a sviluppare il prototipo con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le persone in formazione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, è essenziale che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queste</w:t>
      </w:r>
      <w:r w:rsidR="00EB224F"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sperimentino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 xml:space="preserve">in autonomia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momenti in cui lasciano la classe e la scuola. Altrimenti, c'è il pericolo che il lavoro sulla propria idea imprenditoriale diventi un mero </w:t>
      </w:r>
      <w:r>
        <w:rPr>
          <w:rFonts w:ascii="Century Gothic" w:hAnsi="Century Gothic" w:cstheme="minorHAnsi"/>
          <w:sz w:val="18"/>
          <w:szCs w:val="18"/>
          <w:lang w:val="it-CH"/>
        </w:rPr>
        <w:t>esercizio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 xml:space="preserve">decontestualizzato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>durante il quale le persone in formazione non hanno a che fare con il mondo esterno e non affrontano la realtà (mercato, utilità per il cliente e fattibilità). Allora si sentono come quel geniale informatico vallesano</w:t>
      </w:r>
      <w:r>
        <w:rPr>
          <w:rFonts w:ascii="Century Gothic" w:hAnsi="Century Gothic" w:cstheme="minorHAnsi"/>
          <w:sz w:val="18"/>
          <w:szCs w:val="18"/>
          <w:lang w:val="it-CH"/>
        </w:rPr>
        <w:t xml:space="preserve"> (di cui non riportiamo il nome)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che si era messo in proprio e aveva passato due anni a programmare nella sua baita di montagna. Quando contattò i potenziali clienti, tutti gli dissero che non potevano usare quello che aveva sviluppato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 xml:space="preserve"> perché era inutile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. Fortunatamente per lui, gli segnalarono ciò di cui avevano bisogno in modo che potesse sviluppare soluzioni software adeguate. 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>C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ome ospite 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>di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una formazione per insegnanti sul programma myidea</w:t>
      </w:r>
      <w:r w:rsidR="0087016F">
        <w:rPr>
          <w:rFonts w:ascii="Century Gothic" w:hAnsi="Century Gothic" w:cstheme="minorHAnsi"/>
          <w:sz w:val="18"/>
          <w:szCs w:val="18"/>
          <w:lang w:val="it-CH"/>
        </w:rPr>
        <w:t xml:space="preserve"> l'informatico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 xml:space="preserve"> ha riferito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che avrebbe preferito non sprecare i due anni, anche perché la sua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>Startup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532604">
        <w:rPr>
          <w:rFonts w:ascii="Century Gothic" w:hAnsi="Century Gothic" w:cstheme="minorHAnsi"/>
          <w:sz w:val="18"/>
          <w:szCs w:val="18"/>
          <w:lang w:val="it-CH"/>
        </w:rPr>
        <w:t xml:space="preserve">a causa di questo problema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>era quasi fallita</w:t>
      </w:r>
      <w:r w:rsidR="007C4EA5" w:rsidRPr="00E9750A">
        <w:rPr>
          <w:rFonts w:ascii="Century Gothic" w:hAnsi="Century Gothic" w:cstheme="minorHAnsi"/>
          <w:sz w:val="18"/>
          <w:szCs w:val="18"/>
          <w:lang w:val="it-CH"/>
        </w:rPr>
        <w:t>.</w:t>
      </w:r>
    </w:p>
    <w:p w14:paraId="07538703" w14:textId="5979059C" w:rsidR="007C4EA5" w:rsidRDefault="007C4EA5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</w:p>
    <w:p w14:paraId="12D90B70" w14:textId="006D339F" w:rsidR="00044C25" w:rsidRDefault="007E3B8B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  <w:r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</w:t>
      </w:r>
    </w:p>
    <w:p w14:paraId="7862005F" w14:textId="77777777" w:rsidR="00542F29" w:rsidRPr="00E9750A" w:rsidRDefault="00542F29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</w:p>
    <w:p w14:paraId="2D5EC278" w14:textId="3E966C63" w:rsidR="007C4EA5" w:rsidRPr="001716F0" w:rsidRDefault="00F9445E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color w:val="073450"/>
          <w:sz w:val="18"/>
          <w:szCs w:val="18"/>
          <w:lang w:val="it-CH"/>
        </w:rPr>
      </w:pPr>
      <w:r w:rsidRPr="001716F0">
        <w:rPr>
          <w:rFonts w:ascii="Century Gothic" w:hAnsi="Century Gothic" w:cstheme="minorHAnsi"/>
          <w:b/>
          <w:i/>
          <w:color w:val="073450"/>
          <w:sz w:val="18"/>
          <w:szCs w:val="18"/>
          <w:lang w:val="it-CH"/>
        </w:rPr>
        <w:lastRenderedPageBreak/>
        <w:t>Riferimenti bibliografici</w:t>
      </w:r>
    </w:p>
    <w:p w14:paraId="27574E76" w14:textId="6048AE27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bookmarkStart w:id="0" w:name="_Hlk73954643"/>
      <w:r w:rsidRPr="00BF7FD1">
        <w:rPr>
          <w:rFonts w:ascii="Century Gothic" w:hAnsi="Century Gothic" w:cstheme="minorHAnsi"/>
          <w:sz w:val="18"/>
          <w:szCs w:val="18"/>
          <w:lang w:val="it-CH"/>
        </w:rPr>
        <w:t xml:space="preserve">Collins, R. H., Sibthorp, J., &amp; Gookin, J. (2016).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Developing Ill-Structured Problem-Solving Skills Through Wilderness Education.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Journal of Experiential Education, 39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>(2), 179–195. doi: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10.1177/1053825916639611  </w:t>
      </w:r>
    </w:p>
    <w:p w14:paraId="5B69C8AD" w14:textId="63065C59" w:rsidR="007C4EA5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de-CH"/>
        </w:rPr>
      </w:pP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Dewey, J. (1922).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Democracy and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ducation. An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I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ntroduction to the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P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hilosophy of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ducation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. 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>New York: Macmillan.</w:t>
      </w:r>
    </w:p>
    <w:p w14:paraId="06119FC5" w14:textId="3299AAC5" w:rsidR="00AF7163" w:rsidRPr="00AF7163" w:rsidRDefault="00AF7163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 xml:space="preserve">Dewey, J. (2012) </w:t>
      </w:r>
      <w:r w:rsidRPr="00AF7163">
        <w:rPr>
          <w:rFonts w:ascii="Century Gothic" w:hAnsi="Century Gothic" w:cstheme="minorHAnsi"/>
          <w:i/>
          <w:iCs/>
          <w:sz w:val="18"/>
          <w:szCs w:val="18"/>
          <w:lang w:val="it-CH"/>
        </w:rPr>
        <w:t>Democrazia e educazione</w:t>
      </w:r>
      <w:r>
        <w:rPr>
          <w:rFonts w:ascii="Century Gothic" w:hAnsi="Century Gothic" w:cstheme="minorHAnsi"/>
          <w:sz w:val="18"/>
          <w:szCs w:val="18"/>
          <w:lang w:val="it-CH"/>
        </w:rPr>
        <w:t>, Milano: Sansoni.</w:t>
      </w:r>
    </w:p>
    <w:p w14:paraId="04447D74" w14:textId="0C15A795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de-CH"/>
        </w:rPr>
      </w:pPr>
      <w:r w:rsidRPr="002B535F">
        <w:rPr>
          <w:rFonts w:ascii="Century Gothic" w:hAnsi="Century Gothic" w:cstheme="minorHAnsi"/>
          <w:sz w:val="18"/>
          <w:szCs w:val="18"/>
          <w:lang w:val="de-CH"/>
        </w:rPr>
        <w:t xml:space="preserve">Hommel, M. &amp; Mehlhorn, D. (2017). Schülererfahrungen und ihre Bedeutung für den Lernerfolg im handlungsorientierten Unterricht.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>Dresdner Beiträge zur Wirtschaftspädagogik</w:t>
      </w:r>
      <w:r w:rsidR="00C96C3D"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>,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 xml:space="preserve"> Nr. 1/2017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>. Dresden: TU Dresden.</w:t>
      </w:r>
    </w:p>
    <w:p w14:paraId="528D6E22" w14:textId="1F6C4E35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r w:rsidRPr="002B535F">
        <w:rPr>
          <w:rFonts w:ascii="Century Gothic" w:hAnsi="Century Gothic" w:cstheme="minorHAnsi"/>
          <w:sz w:val="18"/>
          <w:szCs w:val="18"/>
          <w:lang w:val="de-CH"/>
        </w:rPr>
        <w:t xml:space="preserve">Kolb, A. Y., &amp; Kolb, D. A. (2008).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Experiential learning theory: A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D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ynamic,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H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olistic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A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pproach to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anagement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earning,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ducation and development. In S. J. Armstrong &amp; C. V. Fukami (eds.),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The SAGE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H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andbook of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anagement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earning,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ducation and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D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evelopment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>. Los Angeles: SAGE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>, 42</w:t>
      </w:r>
      <w:r w:rsidR="006F749A" w:rsidRPr="002B535F">
        <w:rPr>
          <w:rFonts w:ascii="Century Gothic" w:hAnsi="Century Gothic" w:cstheme="minorHAnsi"/>
          <w:sz w:val="18"/>
          <w:szCs w:val="18"/>
          <w:lang w:val="en-GB"/>
        </w:rPr>
        <w:t>–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>68.</w:t>
      </w:r>
    </w:p>
    <w:p w14:paraId="16C6E186" w14:textId="047125A6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Manolis, C., Burns, D. J., Assudani, R., &amp; Chinta, R. (2013). Assessing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xperiential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earning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S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tyles: A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ethodological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R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econstruction and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V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alidation of the Kolb Learning Style Inventory.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Learning and Individual Differences, 23,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>44–52. doi: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10.1016/j.lindif.2012.10.009 </w:t>
      </w:r>
    </w:p>
    <w:p w14:paraId="66C69CFB" w14:textId="3D5E9EB5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de-CH"/>
        </w:rPr>
      </w:pP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Morris, T. H. (2019). Experiential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earning – a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S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ystematic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R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eview and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R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evision of Kolb’s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odel.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 xml:space="preserve">Interactive Learning Environments, 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>1–14. doi:</w:t>
      </w:r>
      <w:r w:rsidR="00C96C3D" w:rsidRPr="002B535F">
        <w:rPr>
          <w:rFonts w:ascii="Century Gothic" w:hAnsi="Century Gothic" w:cstheme="minorHAnsi"/>
          <w:sz w:val="18"/>
          <w:szCs w:val="18"/>
          <w:lang w:val="de-CH"/>
        </w:rPr>
        <w:t xml:space="preserve"> 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 xml:space="preserve">10.1080/10494820.2019.1570279  </w:t>
      </w:r>
    </w:p>
    <w:bookmarkEnd w:id="0"/>
    <w:p w14:paraId="2A508FFC" w14:textId="77777777" w:rsidR="007C4EA5" w:rsidRPr="009347E7" w:rsidRDefault="007C4EA5" w:rsidP="00185A8E">
      <w:pPr>
        <w:spacing w:before="120" w:after="0" w:line="280" w:lineRule="exact"/>
        <w:jc w:val="center"/>
        <w:rPr>
          <w:rFonts w:ascii="Century Gothic" w:hAnsi="Century Gothic" w:cstheme="minorHAnsi"/>
          <w:sz w:val="18"/>
          <w:szCs w:val="18"/>
          <w:lang w:val="en-GB"/>
        </w:rPr>
      </w:pPr>
    </w:p>
    <w:sectPr w:rsidR="007C4EA5" w:rsidRPr="009347E7" w:rsidSect="009D4CB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7AAC" w14:textId="77777777" w:rsidR="007336BB" w:rsidRDefault="007336BB" w:rsidP="006354FB">
      <w:pPr>
        <w:spacing w:after="0" w:line="240" w:lineRule="auto"/>
      </w:pPr>
      <w:r>
        <w:separator/>
      </w:r>
    </w:p>
  </w:endnote>
  <w:endnote w:type="continuationSeparator" w:id="0">
    <w:p w14:paraId="52E5D7E8" w14:textId="77777777" w:rsidR="007336BB" w:rsidRDefault="007336BB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753" w14:textId="1D0A6489" w:rsidR="00FB1ADC" w:rsidRDefault="00043C41">
    <w:pPr>
      <w:pStyle w:val="Fuzeile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2FF03551" wp14:editId="39F51217">
          <wp:simplePos x="0" y="0"/>
          <wp:positionH relativeFrom="margin">
            <wp:posOffset>1768793</wp:posOffset>
          </wp:positionH>
          <wp:positionV relativeFrom="paragraph">
            <wp:posOffset>-3203892</wp:posOffset>
          </wp:positionV>
          <wp:extent cx="1024255" cy="7235825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99200" behindDoc="0" locked="0" layoutInCell="1" allowOverlap="1" wp14:anchorId="2BCD26E6" wp14:editId="43D4F0F5">
          <wp:simplePos x="0" y="0"/>
          <wp:positionH relativeFrom="page">
            <wp:posOffset>5524500</wp:posOffset>
          </wp:positionH>
          <wp:positionV relativeFrom="paragraph">
            <wp:posOffset>-19050</wp:posOffset>
          </wp:positionV>
          <wp:extent cx="1945005" cy="11887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ADC">
      <w:rPr>
        <w:noProof/>
      </w:rPr>
      <w:drawing>
        <wp:anchor distT="0" distB="0" distL="114300" distR="114300" simplePos="0" relativeHeight="251700224" behindDoc="0" locked="0" layoutInCell="1" allowOverlap="1" wp14:anchorId="30A7A314" wp14:editId="2A27F522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1371600" cy="1371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DEC14" w14:textId="3BA3ED86" w:rsidR="00FB1ADC" w:rsidRPr="009347E7" w:rsidRDefault="00043C41">
    <w:pPr>
      <w:pStyle w:val="Fuzeile"/>
      <w:jc w:val="right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>Pagina</w:t>
    </w:r>
    <w:r w:rsidR="00FB1ADC" w:rsidRPr="009347E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27482882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FB1ADC" w:rsidRPr="009347E7">
          <w:rPr>
            <w:rFonts w:ascii="Century Gothic" w:hAnsi="Century Gothic"/>
            <w:sz w:val="20"/>
            <w:szCs w:val="20"/>
          </w:rPr>
          <w:fldChar w:fldCharType="begin"/>
        </w:r>
        <w:r w:rsidR="00FB1ADC" w:rsidRPr="009347E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FB1ADC" w:rsidRPr="009347E7">
          <w:rPr>
            <w:rFonts w:ascii="Century Gothic" w:hAnsi="Century Gothic"/>
            <w:sz w:val="20"/>
            <w:szCs w:val="20"/>
          </w:rPr>
          <w:fldChar w:fldCharType="separate"/>
        </w:r>
        <w:r w:rsidR="00FB1ADC" w:rsidRPr="009347E7">
          <w:rPr>
            <w:rFonts w:ascii="Century Gothic" w:hAnsi="Century Gothic"/>
            <w:noProof/>
            <w:sz w:val="20"/>
            <w:szCs w:val="20"/>
          </w:rPr>
          <w:t>3</w:t>
        </w:r>
        <w:r w:rsidR="00FB1ADC" w:rsidRPr="009347E7">
          <w:rPr>
            <w:rFonts w:ascii="Century Gothic" w:hAnsi="Century Gothic"/>
            <w:sz w:val="20"/>
            <w:szCs w:val="20"/>
          </w:rPr>
          <w:fldChar w:fldCharType="end"/>
        </w:r>
      </w:sdtContent>
    </w:sdt>
  </w:p>
  <w:p w14:paraId="7FA67555" w14:textId="77777777" w:rsidR="00FB1ADC" w:rsidRDefault="00FB1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4281" w14:textId="50093A66" w:rsidR="00FB1ADC" w:rsidRDefault="009D4CB3">
    <w:pPr>
      <w:pStyle w:val="Fuzeile"/>
    </w:pPr>
    <w:r>
      <w:rPr>
        <w:noProof/>
        <w:sz w:val="20"/>
        <w:szCs w:val="20"/>
      </w:rPr>
      <w:drawing>
        <wp:anchor distT="0" distB="0" distL="114300" distR="114300" simplePos="0" relativeHeight="251709440" behindDoc="0" locked="0" layoutInCell="1" allowOverlap="1" wp14:anchorId="0D123DD0" wp14:editId="1BEF6BAE">
          <wp:simplePos x="0" y="0"/>
          <wp:positionH relativeFrom="page">
            <wp:align>right</wp:align>
          </wp:positionH>
          <wp:positionV relativeFrom="paragraph">
            <wp:posOffset>-24765</wp:posOffset>
          </wp:positionV>
          <wp:extent cx="1945005" cy="118872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0" locked="0" layoutInCell="1" allowOverlap="1" wp14:anchorId="2A9F22F3" wp14:editId="6B752E4D">
          <wp:simplePos x="0" y="0"/>
          <wp:positionH relativeFrom="page">
            <wp:align>left</wp:align>
          </wp:positionH>
          <wp:positionV relativeFrom="paragraph">
            <wp:posOffset>222885</wp:posOffset>
          </wp:positionV>
          <wp:extent cx="1371600" cy="13716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52D5E444" wp14:editId="219A696F">
          <wp:simplePos x="0" y="0"/>
          <wp:positionH relativeFrom="column">
            <wp:posOffset>-1414145</wp:posOffset>
          </wp:positionH>
          <wp:positionV relativeFrom="paragraph">
            <wp:posOffset>-91440</wp:posOffset>
          </wp:positionV>
          <wp:extent cx="7236460" cy="1024255"/>
          <wp:effectExtent l="0" t="0" r="0" b="444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3D0329" w14:textId="7F64019C" w:rsidR="009D4CB3" w:rsidRDefault="009D4CB3">
    <w:pPr>
      <w:pStyle w:val="Fuzeile"/>
    </w:pPr>
  </w:p>
  <w:p w14:paraId="1D82EEC0" w14:textId="4D0D8C66" w:rsidR="009D4CB3" w:rsidRDefault="009D4C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E5EB" w14:textId="77777777" w:rsidR="007336BB" w:rsidRDefault="007336BB" w:rsidP="006354FB">
      <w:pPr>
        <w:spacing w:after="0" w:line="240" w:lineRule="auto"/>
      </w:pPr>
      <w:r>
        <w:separator/>
      </w:r>
    </w:p>
  </w:footnote>
  <w:footnote w:type="continuationSeparator" w:id="0">
    <w:p w14:paraId="16353524" w14:textId="77777777" w:rsidR="007336BB" w:rsidRDefault="007336BB" w:rsidP="006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3A85" w14:textId="77777777" w:rsidR="004A1204" w:rsidRDefault="004A1204">
    <w:pPr>
      <w:pStyle w:val="Kopfzeile"/>
    </w:pPr>
    <w:r w:rsidRPr="00663850">
      <w:rPr>
        <w:rFonts w:ascii="Century Gothic" w:hAnsi="Century Gothic"/>
        <w:noProof/>
        <w:lang w:val="de-CH"/>
      </w:rPr>
      <w:drawing>
        <wp:anchor distT="0" distB="0" distL="114300" distR="114300" simplePos="0" relativeHeight="251694080" behindDoc="1" locked="0" layoutInCell="1" allowOverlap="1" wp14:anchorId="56122F41" wp14:editId="12ABB52C">
          <wp:simplePos x="0" y="0"/>
          <wp:positionH relativeFrom="margin">
            <wp:posOffset>-337820</wp:posOffset>
          </wp:positionH>
          <wp:positionV relativeFrom="paragraph">
            <wp:posOffset>-354330</wp:posOffset>
          </wp:positionV>
          <wp:extent cx="1447800" cy="1207624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447800" cy="12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520351" wp14:editId="45562C51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695104" behindDoc="0" locked="0" layoutInCell="1" allowOverlap="1" wp14:anchorId="15EEFCDD" wp14:editId="0C67712C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8C76D" w14:textId="2361EF87" w:rsidR="004A1204" w:rsidRPr="00043C41" w:rsidRDefault="00043C41" w:rsidP="007D2A13">
    <w:pPr>
      <w:spacing w:after="0" w:line="240" w:lineRule="auto"/>
      <w:jc w:val="center"/>
      <w:rPr>
        <w:rFonts w:ascii="Century Gothic" w:hAnsi="Century Gothic"/>
        <w:sz w:val="18"/>
        <w:szCs w:val="18"/>
        <w:lang w:val="it-CH"/>
      </w:rPr>
    </w:pPr>
    <w:r w:rsidRPr="00043C41">
      <w:rPr>
        <w:rFonts w:ascii="Century Gothic" w:hAnsi="Century Gothic"/>
        <w:sz w:val="18"/>
        <w:szCs w:val="18"/>
        <w:lang w:val="it-CH"/>
      </w:rPr>
      <w:t xml:space="preserve">Scheda informativa </w:t>
    </w:r>
    <w:r w:rsidR="001A3CB1">
      <w:rPr>
        <w:rFonts w:ascii="Century Gothic" w:hAnsi="Century Gothic"/>
        <w:sz w:val="18"/>
        <w:szCs w:val="18"/>
        <w:lang w:val="it-CH"/>
      </w:rPr>
      <w:t>A</w:t>
    </w:r>
    <w:r w:rsidRPr="00043C41">
      <w:rPr>
        <w:rFonts w:ascii="Century Gothic" w:hAnsi="Century Gothic"/>
        <w:sz w:val="18"/>
        <w:szCs w:val="18"/>
        <w:lang w:val="it-CH"/>
      </w:rPr>
      <w:t>pprendimento attraverso l</w:t>
    </w:r>
    <w:r>
      <w:rPr>
        <w:rFonts w:ascii="Century Gothic" w:hAnsi="Century Gothic"/>
        <w:sz w:val="18"/>
        <w:szCs w:val="18"/>
        <w:lang w:val="it-CH"/>
      </w:rPr>
      <w:t>’esperienza personale</w:t>
    </w:r>
  </w:p>
  <w:p w14:paraId="38676289" w14:textId="77777777" w:rsidR="004A1204" w:rsidRPr="00043C41" w:rsidRDefault="004A1204">
    <w:pPr>
      <w:pStyle w:val="Kopfzeile"/>
      <w:rPr>
        <w:lang w:val="it-CH"/>
      </w:rPr>
    </w:pPr>
  </w:p>
  <w:p w14:paraId="713BF59D" w14:textId="77777777" w:rsidR="004A1204" w:rsidRPr="00043C41" w:rsidRDefault="004A1204" w:rsidP="00827ED0">
    <w:pPr>
      <w:pStyle w:val="Kopfzeile"/>
      <w:rPr>
        <w:lang w:val="it-CH"/>
      </w:rPr>
    </w:pPr>
  </w:p>
  <w:p w14:paraId="244A6BB1" w14:textId="77777777" w:rsidR="004A1204" w:rsidRPr="00043C41" w:rsidRDefault="004A1204" w:rsidP="00827ED0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70B5" w14:textId="77777777" w:rsidR="009D4CB3" w:rsidRDefault="009D4CB3" w:rsidP="009D4CB3">
    <w:pPr>
      <w:pStyle w:val="Kopfzeile"/>
    </w:pPr>
    <w:r w:rsidRPr="00663850">
      <w:rPr>
        <w:rFonts w:ascii="Century Gothic" w:hAnsi="Century Gothic"/>
        <w:noProof/>
        <w:lang w:val="de-CH"/>
      </w:rPr>
      <w:drawing>
        <wp:anchor distT="0" distB="0" distL="114300" distR="114300" simplePos="0" relativeHeight="251702272" behindDoc="1" locked="0" layoutInCell="1" allowOverlap="1" wp14:anchorId="48A20D69" wp14:editId="0BE94A57">
          <wp:simplePos x="0" y="0"/>
          <wp:positionH relativeFrom="margin">
            <wp:posOffset>-337820</wp:posOffset>
          </wp:positionH>
          <wp:positionV relativeFrom="paragraph">
            <wp:posOffset>-354330</wp:posOffset>
          </wp:positionV>
          <wp:extent cx="1447800" cy="120762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447800" cy="12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0FD5B33D" wp14:editId="1449F784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703296" behindDoc="0" locked="0" layoutInCell="1" allowOverlap="1" wp14:anchorId="74A939F3" wp14:editId="1B21058F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4A09B" w14:textId="2A298BA3" w:rsidR="009D4CB3" w:rsidRPr="00827ED0" w:rsidRDefault="009D4CB3" w:rsidP="009D4CB3">
    <w:pPr>
      <w:spacing w:after="0" w:line="240" w:lineRule="auto"/>
      <w:rPr>
        <w:rFonts w:ascii="Century Gothic" w:hAnsi="Century Gothic"/>
        <w:sz w:val="18"/>
        <w:szCs w:val="18"/>
      </w:rPr>
    </w:pPr>
  </w:p>
  <w:p w14:paraId="138B3B02" w14:textId="5CDEF02D" w:rsidR="00FB1ADC" w:rsidRDefault="00FB1ADC">
    <w:pPr>
      <w:pStyle w:val="Kopfzeile"/>
    </w:pPr>
  </w:p>
  <w:p w14:paraId="6FB0D526" w14:textId="6DEDF4BC" w:rsidR="009D4CB3" w:rsidRDefault="009D4CB3">
    <w:pPr>
      <w:pStyle w:val="Kopfzeile"/>
    </w:pPr>
  </w:p>
  <w:p w14:paraId="5CD2B9B8" w14:textId="77777777" w:rsidR="009D4CB3" w:rsidRDefault="009D4C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59"/>
    <w:multiLevelType w:val="hybridMultilevel"/>
    <w:tmpl w:val="2E2A685E"/>
    <w:lvl w:ilvl="0" w:tplc="0407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089E4091"/>
    <w:multiLevelType w:val="hybridMultilevel"/>
    <w:tmpl w:val="67549276"/>
    <w:lvl w:ilvl="0" w:tplc="3ED61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7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3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F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2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47"/>
    <w:multiLevelType w:val="hybridMultilevel"/>
    <w:tmpl w:val="3064B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4EE8"/>
    <w:multiLevelType w:val="hybridMultilevel"/>
    <w:tmpl w:val="CDB075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32B"/>
    <w:multiLevelType w:val="hybridMultilevel"/>
    <w:tmpl w:val="445CE878"/>
    <w:lvl w:ilvl="0" w:tplc="0648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C47"/>
    <w:multiLevelType w:val="hybridMultilevel"/>
    <w:tmpl w:val="A00C8552"/>
    <w:lvl w:ilvl="0" w:tplc="267818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85639"/>
    <w:multiLevelType w:val="hybridMultilevel"/>
    <w:tmpl w:val="FBDAA1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A7C2E"/>
    <w:multiLevelType w:val="hybridMultilevel"/>
    <w:tmpl w:val="82CC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AA9"/>
    <w:multiLevelType w:val="hybridMultilevel"/>
    <w:tmpl w:val="511894C6"/>
    <w:lvl w:ilvl="0" w:tplc="C8EA4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3513"/>
    <w:multiLevelType w:val="hybridMultilevel"/>
    <w:tmpl w:val="ACE08A72"/>
    <w:lvl w:ilvl="0" w:tplc="29E8FF8A">
      <w:numFmt w:val="bullet"/>
      <w:lvlText w:val="•"/>
      <w:lvlJc w:val="left"/>
      <w:pPr>
        <w:ind w:left="1273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8825AE9"/>
    <w:multiLevelType w:val="multilevel"/>
    <w:tmpl w:val="AE8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B059E"/>
    <w:multiLevelType w:val="hybridMultilevel"/>
    <w:tmpl w:val="7D92B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94BFD"/>
    <w:multiLevelType w:val="hybridMultilevel"/>
    <w:tmpl w:val="F82A2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D"/>
    <w:rsid w:val="000015F4"/>
    <w:rsid w:val="000025A9"/>
    <w:rsid w:val="00012DE9"/>
    <w:rsid w:val="00016D07"/>
    <w:rsid w:val="00036470"/>
    <w:rsid w:val="0004267B"/>
    <w:rsid w:val="00043208"/>
    <w:rsid w:val="00043C41"/>
    <w:rsid w:val="00044C25"/>
    <w:rsid w:val="00047813"/>
    <w:rsid w:val="000507D3"/>
    <w:rsid w:val="00064EB0"/>
    <w:rsid w:val="0008336E"/>
    <w:rsid w:val="00083C66"/>
    <w:rsid w:val="00084FCD"/>
    <w:rsid w:val="000862E4"/>
    <w:rsid w:val="00090179"/>
    <w:rsid w:val="000913AB"/>
    <w:rsid w:val="00092132"/>
    <w:rsid w:val="000A290A"/>
    <w:rsid w:val="000B025D"/>
    <w:rsid w:val="000B02C5"/>
    <w:rsid w:val="000D6871"/>
    <w:rsid w:val="000D6FD6"/>
    <w:rsid w:val="000E22AB"/>
    <w:rsid w:val="000E6462"/>
    <w:rsid w:val="000F4676"/>
    <w:rsid w:val="00106BF2"/>
    <w:rsid w:val="001110DA"/>
    <w:rsid w:val="00111900"/>
    <w:rsid w:val="00111C2B"/>
    <w:rsid w:val="00122403"/>
    <w:rsid w:val="001526E6"/>
    <w:rsid w:val="00153477"/>
    <w:rsid w:val="0015647F"/>
    <w:rsid w:val="00156C09"/>
    <w:rsid w:val="001716F0"/>
    <w:rsid w:val="00172F69"/>
    <w:rsid w:val="00185A8E"/>
    <w:rsid w:val="00187246"/>
    <w:rsid w:val="00190E26"/>
    <w:rsid w:val="00191C4A"/>
    <w:rsid w:val="001931EE"/>
    <w:rsid w:val="00195443"/>
    <w:rsid w:val="0019704D"/>
    <w:rsid w:val="001971A1"/>
    <w:rsid w:val="001A2752"/>
    <w:rsid w:val="001A3CB1"/>
    <w:rsid w:val="001C7A50"/>
    <w:rsid w:val="001E5A88"/>
    <w:rsid w:val="001F5AF2"/>
    <w:rsid w:val="001F6A13"/>
    <w:rsid w:val="001F7517"/>
    <w:rsid w:val="00203A5B"/>
    <w:rsid w:val="00204263"/>
    <w:rsid w:val="00231D65"/>
    <w:rsid w:val="002350FE"/>
    <w:rsid w:val="00240FED"/>
    <w:rsid w:val="0024149D"/>
    <w:rsid w:val="00242B94"/>
    <w:rsid w:val="00251597"/>
    <w:rsid w:val="002578B9"/>
    <w:rsid w:val="00261FA2"/>
    <w:rsid w:val="00266867"/>
    <w:rsid w:val="00272C25"/>
    <w:rsid w:val="002750C1"/>
    <w:rsid w:val="00292CF2"/>
    <w:rsid w:val="00293E2E"/>
    <w:rsid w:val="002A1320"/>
    <w:rsid w:val="002A2B54"/>
    <w:rsid w:val="002A323B"/>
    <w:rsid w:val="002A7E30"/>
    <w:rsid w:val="002B33EA"/>
    <w:rsid w:val="002B4769"/>
    <w:rsid w:val="002B535F"/>
    <w:rsid w:val="002B5E8E"/>
    <w:rsid w:val="002C0FFB"/>
    <w:rsid w:val="002E110D"/>
    <w:rsid w:val="002E2EC2"/>
    <w:rsid w:val="002E68B1"/>
    <w:rsid w:val="003175AA"/>
    <w:rsid w:val="00323423"/>
    <w:rsid w:val="00332C77"/>
    <w:rsid w:val="00335594"/>
    <w:rsid w:val="0033667C"/>
    <w:rsid w:val="0034442A"/>
    <w:rsid w:val="003462F4"/>
    <w:rsid w:val="00354807"/>
    <w:rsid w:val="00360786"/>
    <w:rsid w:val="003616F8"/>
    <w:rsid w:val="003626FA"/>
    <w:rsid w:val="0037173D"/>
    <w:rsid w:val="00372FA3"/>
    <w:rsid w:val="00384E76"/>
    <w:rsid w:val="0038548D"/>
    <w:rsid w:val="00387190"/>
    <w:rsid w:val="003910AA"/>
    <w:rsid w:val="003A3A96"/>
    <w:rsid w:val="003A7CE6"/>
    <w:rsid w:val="003B00CE"/>
    <w:rsid w:val="003B4EC1"/>
    <w:rsid w:val="003C208F"/>
    <w:rsid w:val="003C3F98"/>
    <w:rsid w:val="003C6399"/>
    <w:rsid w:val="003C7518"/>
    <w:rsid w:val="003C7750"/>
    <w:rsid w:val="003C7C91"/>
    <w:rsid w:val="003D1851"/>
    <w:rsid w:val="003F03EC"/>
    <w:rsid w:val="003F08B3"/>
    <w:rsid w:val="003F0E9E"/>
    <w:rsid w:val="003F4FAC"/>
    <w:rsid w:val="003F6079"/>
    <w:rsid w:val="003F63FB"/>
    <w:rsid w:val="003F660A"/>
    <w:rsid w:val="00400953"/>
    <w:rsid w:val="00406D04"/>
    <w:rsid w:val="004148C4"/>
    <w:rsid w:val="00417E88"/>
    <w:rsid w:val="00420697"/>
    <w:rsid w:val="00420ABF"/>
    <w:rsid w:val="00422F16"/>
    <w:rsid w:val="00422F91"/>
    <w:rsid w:val="004264AB"/>
    <w:rsid w:val="00434D92"/>
    <w:rsid w:val="00445114"/>
    <w:rsid w:val="00453E69"/>
    <w:rsid w:val="00457EC2"/>
    <w:rsid w:val="00472B9E"/>
    <w:rsid w:val="00473E02"/>
    <w:rsid w:val="0048177F"/>
    <w:rsid w:val="0048298B"/>
    <w:rsid w:val="00482D13"/>
    <w:rsid w:val="00491617"/>
    <w:rsid w:val="004A1204"/>
    <w:rsid w:val="004B2578"/>
    <w:rsid w:val="004B6BF8"/>
    <w:rsid w:val="004C3877"/>
    <w:rsid w:val="004C4565"/>
    <w:rsid w:val="004F26BF"/>
    <w:rsid w:val="004F31EF"/>
    <w:rsid w:val="00500F1A"/>
    <w:rsid w:val="005039D2"/>
    <w:rsid w:val="005075E0"/>
    <w:rsid w:val="00513D93"/>
    <w:rsid w:val="00523CE8"/>
    <w:rsid w:val="00526CEC"/>
    <w:rsid w:val="00532604"/>
    <w:rsid w:val="00542F29"/>
    <w:rsid w:val="005459E5"/>
    <w:rsid w:val="00551F17"/>
    <w:rsid w:val="0055429C"/>
    <w:rsid w:val="00557B39"/>
    <w:rsid w:val="00567B3A"/>
    <w:rsid w:val="00570D9D"/>
    <w:rsid w:val="00576A01"/>
    <w:rsid w:val="00580267"/>
    <w:rsid w:val="00583673"/>
    <w:rsid w:val="00583F8F"/>
    <w:rsid w:val="00590F3D"/>
    <w:rsid w:val="005A0FA3"/>
    <w:rsid w:val="005A148C"/>
    <w:rsid w:val="005A3890"/>
    <w:rsid w:val="005A75A1"/>
    <w:rsid w:val="005B1FC1"/>
    <w:rsid w:val="005B3874"/>
    <w:rsid w:val="005D4F1C"/>
    <w:rsid w:val="005E043A"/>
    <w:rsid w:val="005F20F3"/>
    <w:rsid w:val="005F539A"/>
    <w:rsid w:val="005F667C"/>
    <w:rsid w:val="00620F7E"/>
    <w:rsid w:val="006211E0"/>
    <w:rsid w:val="006219BF"/>
    <w:rsid w:val="0062751C"/>
    <w:rsid w:val="00631811"/>
    <w:rsid w:val="00632AF0"/>
    <w:rsid w:val="006354FB"/>
    <w:rsid w:val="0063588E"/>
    <w:rsid w:val="00644255"/>
    <w:rsid w:val="00650322"/>
    <w:rsid w:val="006519E6"/>
    <w:rsid w:val="0066011C"/>
    <w:rsid w:val="00664B32"/>
    <w:rsid w:val="00673723"/>
    <w:rsid w:val="00674DE8"/>
    <w:rsid w:val="0067502D"/>
    <w:rsid w:val="00696E1A"/>
    <w:rsid w:val="006A279E"/>
    <w:rsid w:val="006A4B7E"/>
    <w:rsid w:val="006C0B7E"/>
    <w:rsid w:val="006C3CBA"/>
    <w:rsid w:val="006C4268"/>
    <w:rsid w:val="006D097A"/>
    <w:rsid w:val="006D57CB"/>
    <w:rsid w:val="006E1B38"/>
    <w:rsid w:val="006E763B"/>
    <w:rsid w:val="006F3353"/>
    <w:rsid w:val="006F599B"/>
    <w:rsid w:val="006F63DB"/>
    <w:rsid w:val="006F7288"/>
    <w:rsid w:val="006F749A"/>
    <w:rsid w:val="00700C70"/>
    <w:rsid w:val="00702AF4"/>
    <w:rsid w:val="0070761A"/>
    <w:rsid w:val="0072541E"/>
    <w:rsid w:val="00730089"/>
    <w:rsid w:val="007315E8"/>
    <w:rsid w:val="00731759"/>
    <w:rsid w:val="007336BB"/>
    <w:rsid w:val="0073773E"/>
    <w:rsid w:val="0074430A"/>
    <w:rsid w:val="0075056B"/>
    <w:rsid w:val="00751E6D"/>
    <w:rsid w:val="00754050"/>
    <w:rsid w:val="007555AF"/>
    <w:rsid w:val="00762B8B"/>
    <w:rsid w:val="00767425"/>
    <w:rsid w:val="00776754"/>
    <w:rsid w:val="0078424C"/>
    <w:rsid w:val="00785D77"/>
    <w:rsid w:val="007A4081"/>
    <w:rsid w:val="007A4114"/>
    <w:rsid w:val="007A55D6"/>
    <w:rsid w:val="007B287E"/>
    <w:rsid w:val="007B2F2E"/>
    <w:rsid w:val="007C4EA5"/>
    <w:rsid w:val="007D2A13"/>
    <w:rsid w:val="007E3B8B"/>
    <w:rsid w:val="007E3D04"/>
    <w:rsid w:val="007E6C99"/>
    <w:rsid w:val="007F736E"/>
    <w:rsid w:val="008066B3"/>
    <w:rsid w:val="008116F9"/>
    <w:rsid w:val="00815661"/>
    <w:rsid w:val="008217A8"/>
    <w:rsid w:val="00827ED0"/>
    <w:rsid w:val="00841F14"/>
    <w:rsid w:val="00847527"/>
    <w:rsid w:val="00853E37"/>
    <w:rsid w:val="008610C4"/>
    <w:rsid w:val="0087016F"/>
    <w:rsid w:val="00870BD7"/>
    <w:rsid w:val="008746CB"/>
    <w:rsid w:val="00874E9D"/>
    <w:rsid w:val="00882F0D"/>
    <w:rsid w:val="008A0E11"/>
    <w:rsid w:val="008B3940"/>
    <w:rsid w:val="008C0573"/>
    <w:rsid w:val="008C08E9"/>
    <w:rsid w:val="008C5599"/>
    <w:rsid w:val="008D1457"/>
    <w:rsid w:val="008D2EC7"/>
    <w:rsid w:val="008D4060"/>
    <w:rsid w:val="008D4A79"/>
    <w:rsid w:val="008E205A"/>
    <w:rsid w:val="008E4734"/>
    <w:rsid w:val="008E5FC1"/>
    <w:rsid w:val="008F625B"/>
    <w:rsid w:val="00911464"/>
    <w:rsid w:val="00913848"/>
    <w:rsid w:val="0091474F"/>
    <w:rsid w:val="009149B2"/>
    <w:rsid w:val="009249BE"/>
    <w:rsid w:val="00930506"/>
    <w:rsid w:val="009347E7"/>
    <w:rsid w:val="00940B87"/>
    <w:rsid w:val="009445FF"/>
    <w:rsid w:val="0094717A"/>
    <w:rsid w:val="0095323C"/>
    <w:rsid w:val="00955291"/>
    <w:rsid w:val="009618E2"/>
    <w:rsid w:val="009623B1"/>
    <w:rsid w:val="00962481"/>
    <w:rsid w:val="00967B89"/>
    <w:rsid w:val="00976548"/>
    <w:rsid w:val="00986D8C"/>
    <w:rsid w:val="0099276C"/>
    <w:rsid w:val="009A2519"/>
    <w:rsid w:val="009A4FC4"/>
    <w:rsid w:val="009B1F72"/>
    <w:rsid w:val="009B3876"/>
    <w:rsid w:val="009C0FF8"/>
    <w:rsid w:val="009C4BA0"/>
    <w:rsid w:val="009C588F"/>
    <w:rsid w:val="009C5A46"/>
    <w:rsid w:val="009C6391"/>
    <w:rsid w:val="009C79C0"/>
    <w:rsid w:val="009D4237"/>
    <w:rsid w:val="009D442F"/>
    <w:rsid w:val="009D4CB3"/>
    <w:rsid w:val="009D7705"/>
    <w:rsid w:val="009E1E41"/>
    <w:rsid w:val="009E4751"/>
    <w:rsid w:val="009E5AF7"/>
    <w:rsid w:val="009F7218"/>
    <w:rsid w:val="009F73C6"/>
    <w:rsid w:val="00A0016A"/>
    <w:rsid w:val="00A01F59"/>
    <w:rsid w:val="00A02FF6"/>
    <w:rsid w:val="00A0447E"/>
    <w:rsid w:val="00A04CBF"/>
    <w:rsid w:val="00A04E48"/>
    <w:rsid w:val="00A20B7A"/>
    <w:rsid w:val="00A228E8"/>
    <w:rsid w:val="00A2335E"/>
    <w:rsid w:val="00A24D7F"/>
    <w:rsid w:val="00A26837"/>
    <w:rsid w:val="00A43262"/>
    <w:rsid w:val="00A44B63"/>
    <w:rsid w:val="00A506EF"/>
    <w:rsid w:val="00A55AD1"/>
    <w:rsid w:val="00A67DAA"/>
    <w:rsid w:val="00A724FB"/>
    <w:rsid w:val="00A81DC2"/>
    <w:rsid w:val="00A84FEC"/>
    <w:rsid w:val="00A90C4B"/>
    <w:rsid w:val="00AA0AB5"/>
    <w:rsid w:val="00AA1016"/>
    <w:rsid w:val="00AB117F"/>
    <w:rsid w:val="00AB76AB"/>
    <w:rsid w:val="00AC0BDF"/>
    <w:rsid w:val="00AC6D5B"/>
    <w:rsid w:val="00AD4594"/>
    <w:rsid w:val="00AE6F9C"/>
    <w:rsid w:val="00AF3612"/>
    <w:rsid w:val="00AF7163"/>
    <w:rsid w:val="00B068A0"/>
    <w:rsid w:val="00B22007"/>
    <w:rsid w:val="00B22899"/>
    <w:rsid w:val="00B25F85"/>
    <w:rsid w:val="00B319F7"/>
    <w:rsid w:val="00B4312C"/>
    <w:rsid w:val="00B47B8F"/>
    <w:rsid w:val="00B52067"/>
    <w:rsid w:val="00B61B4B"/>
    <w:rsid w:val="00B759FE"/>
    <w:rsid w:val="00B808DC"/>
    <w:rsid w:val="00B95405"/>
    <w:rsid w:val="00BA5AEB"/>
    <w:rsid w:val="00BB1955"/>
    <w:rsid w:val="00BB1C23"/>
    <w:rsid w:val="00BB2351"/>
    <w:rsid w:val="00BB7685"/>
    <w:rsid w:val="00BC71E1"/>
    <w:rsid w:val="00BD06A4"/>
    <w:rsid w:val="00BD0AB2"/>
    <w:rsid w:val="00BD7DDA"/>
    <w:rsid w:val="00BE59DC"/>
    <w:rsid w:val="00BE72DB"/>
    <w:rsid w:val="00BF7FD1"/>
    <w:rsid w:val="00C00B52"/>
    <w:rsid w:val="00C0306D"/>
    <w:rsid w:val="00C126EE"/>
    <w:rsid w:val="00C2290E"/>
    <w:rsid w:val="00C22989"/>
    <w:rsid w:val="00C25A7E"/>
    <w:rsid w:val="00C378FD"/>
    <w:rsid w:val="00C4120E"/>
    <w:rsid w:val="00C44E3F"/>
    <w:rsid w:val="00C456D4"/>
    <w:rsid w:val="00C46EDA"/>
    <w:rsid w:val="00C60740"/>
    <w:rsid w:val="00C67CBB"/>
    <w:rsid w:val="00C7211C"/>
    <w:rsid w:val="00C73C12"/>
    <w:rsid w:val="00C762A9"/>
    <w:rsid w:val="00C76CB2"/>
    <w:rsid w:val="00C869A8"/>
    <w:rsid w:val="00C96C3D"/>
    <w:rsid w:val="00CB4591"/>
    <w:rsid w:val="00CC1558"/>
    <w:rsid w:val="00CD6A7A"/>
    <w:rsid w:val="00CD71A8"/>
    <w:rsid w:val="00CE7329"/>
    <w:rsid w:val="00CF1BA1"/>
    <w:rsid w:val="00CF2659"/>
    <w:rsid w:val="00D10105"/>
    <w:rsid w:val="00D14656"/>
    <w:rsid w:val="00D32EDD"/>
    <w:rsid w:val="00D3408E"/>
    <w:rsid w:val="00D60F8A"/>
    <w:rsid w:val="00D647C8"/>
    <w:rsid w:val="00D66794"/>
    <w:rsid w:val="00D71A36"/>
    <w:rsid w:val="00D7765A"/>
    <w:rsid w:val="00D800C0"/>
    <w:rsid w:val="00D803B5"/>
    <w:rsid w:val="00D854A4"/>
    <w:rsid w:val="00D91795"/>
    <w:rsid w:val="00D938F4"/>
    <w:rsid w:val="00D964CE"/>
    <w:rsid w:val="00DA7EDF"/>
    <w:rsid w:val="00DB613E"/>
    <w:rsid w:val="00DB7DAF"/>
    <w:rsid w:val="00DC5BEC"/>
    <w:rsid w:val="00DD29EB"/>
    <w:rsid w:val="00DD43CE"/>
    <w:rsid w:val="00DD4E0E"/>
    <w:rsid w:val="00DD5E0F"/>
    <w:rsid w:val="00DD7711"/>
    <w:rsid w:val="00DE7E88"/>
    <w:rsid w:val="00E050B8"/>
    <w:rsid w:val="00E122E1"/>
    <w:rsid w:val="00E127EE"/>
    <w:rsid w:val="00E137C2"/>
    <w:rsid w:val="00E17058"/>
    <w:rsid w:val="00E264B6"/>
    <w:rsid w:val="00E27C13"/>
    <w:rsid w:val="00E32062"/>
    <w:rsid w:val="00E45707"/>
    <w:rsid w:val="00E51841"/>
    <w:rsid w:val="00E51A5A"/>
    <w:rsid w:val="00E56A8B"/>
    <w:rsid w:val="00E607EF"/>
    <w:rsid w:val="00E660D5"/>
    <w:rsid w:val="00E67B76"/>
    <w:rsid w:val="00E7421E"/>
    <w:rsid w:val="00E77C33"/>
    <w:rsid w:val="00E77ED9"/>
    <w:rsid w:val="00E854FA"/>
    <w:rsid w:val="00E94A42"/>
    <w:rsid w:val="00E9750A"/>
    <w:rsid w:val="00EB224F"/>
    <w:rsid w:val="00EB4073"/>
    <w:rsid w:val="00EB7C4E"/>
    <w:rsid w:val="00EC008E"/>
    <w:rsid w:val="00EC45F5"/>
    <w:rsid w:val="00ED3357"/>
    <w:rsid w:val="00EE2918"/>
    <w:rsid w:val="00EF3DB6"/>
    <w:rsid w:val="00EF604B"/>
    <w:rsid w:val="00EF69BD"/>
    <w:rsid w:val="00F05EAA"/>
    <w:rsid w:val="00F06A73"/>
    <w:rsid w:val="00F1006C"/>
    <w:rsid w:val="00F10503"/>
    <w:rsid w:val="00F106E7"/>
    <w:rsid w:val="00F11014"/>
    <w:rsid w:val="00F11101"/>
    <w:rsid w:val="00F13830"/>
    <w:rsid w:val="00F14543"/>
    <w:rsid w:val="00F14656"/>
    <w:rsid w:val="00F16231"/>
    <w:rsid w:val="00F1735D"/>
    <w:rsid w:val="00F20D9C"/>
    <w:rsid w:val="00F244FF"/>
    <w:rsid w:val="00F30BDC"/>
    <w:rsid w:val="00F34476"/>
    <w:rsid w:val="00F36C9D"/>
    <w:rsid w:val="00F42793"/>
    <w:rsid w:val="00F42850"/>
    <w:rsid w:val="00F45CC0"/>
    <w:rsid w:val="00F46579"/>
    <w:rsid w:val="00F4659A"/>
    <w:rsid w:val="00F5471D"/>
    <w:rsid w:val="00F54AC5"/>
    <w:rsid w:val="00F66900"/>
    <w:rsid w:val="00F70996"/>
    <w:rsid w:val="00F71065"/>
    <w:rsid w:val="00F813F6"/>
    <w:rsid w:val="00F86679"/>
    <w:rsid w:val="00F92F73"/>
    <w:rsid w:val="00F930FA"/>
    <w:rsid w:val="00F9445E"/>
    <w:rsid w:val="00FA2EFB"/>
    <w:rsid w:val="00FA63A3"/>
    <w:rsid w:val="00FB1ADC"/>
    <w:rsid w:val="00FB2E9C"/>
    <w:rsid w:val="00FB6CEB"/>
    <w:rsid w:val="00FB7EB8"/>
    <w:rsid w:val="00FC2ED9"/>
    <w:rsid w:val="00FC6B5A"/>
    <w:rsid w:val="00FD6A69"/>
    <w:rsid w:val="00FE5524"/>
    <w:rsid w:val="00FF396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50806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C0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0F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4FB"/>
  </w:style>
  <w:style w:type="paragraph" w:styleId="Fuzeile">
    <w:name w:val="footer"/>
    <w:basedOn w:val="Standard"/>
    <w:link w:val="Fu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4FB"/>
  </w:style>
  <w:style w:type="paragraph" w:styleId="Beschriftung">
    <w:name w:val="caption"/>
    <w:basedOn w:val="Standard"/>
    <w:next w:val="Standard"/>
    <w:uiPriority w:val="35"/>
    <w:unhideWhenUsed/>
    <w:qFormat/>
    <w:rsid w:val="0067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F3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F31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1E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931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D2EC7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1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pbtestimonialauthor">
    <w:name w:val="et_pb_testimonial_author"/>
    <w:basedOn w:val="Absatz-Standardschriftart"/>
    <w:rsid w:val="00111900"/>
  </w:style>
  <w:style w:type="character" w:customStyle="1" w:styleId="etpbtestimonialposition">
    <w:name w:val="et_pb_testimonial_position"/>
    <w:basedOn w:val="Absatz-Standardschriftart"/>
    <w:rsid w:val="00111900"/>
  </w:style>
  <w:style w:type="character" w:customStyle="1" w:styleId="etpbtestimonialcompany">
    <w:name w:val="et_pb_testimonial_company"/>
    <w:basedOn w:val="Absatz-Standardschriftart"/>
    <w:rsid w:val="00111900"/>
  </w:style>
  <w:style w:type="paragraph" w:styleId="Funotentext">
    <w:name w:val="footnote text"/>
    <w:basedOn w:val="Standard"/>
    <w:link w:val="FunotentextZchn"/>
    <w:uiPriority w:val="99"/>
    <w:semiHidden/>
    <w:unhideWhenUsed/>
    <w:rsid w:val="00012D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2D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2DE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803B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90">
          <w:marLeft w:val="0"/>
          <w:marRight w:val="179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3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6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999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3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06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CE9-9080-4206-BDED-FBD9DC36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Eveline Gutzwiller</cp:lastModifiedBy>
  <cp:revision>59</cp:revision>
  <dcterms:created xsi:type="dcterms:W3CDTF">2021-07-01T17:21:00Z</dcterms:created>
  <dcterms:modified xsi:type="dcterms:W3CDTF">2021-11-08T17:20:00Z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eb5799-d0fd-4e27-b9df-61ef8d68c68c_Enabled">
    <vt:lpwstr>true</vt:lpwstr>
  </property>
  <property fmtid="{D5CDD505-2E9C-101B-9397-08002B2CF9AE}" pid="3" name="MSIP_Label_89eb5799-d0fd-4e27-b9df-61ef8d68c68c_SetDate">
    <vt:lpwstr>2021-07-02T12:11:38Z</vt:lpwstr>
  </property>
  <property fmtid="{D5CDD505-2E9C-101B-9397-08002B2CF9AE}" pid="4" name="MSIP_Label_89eb5799-d0fd-4e27-b9df-61ef8d68c68c_Method">
    <vt:lpwstr>Privileged</vt:lpwstr>
  </property>
  <property fmtid="{D5CDD505-2E9C-101B-9397-08002B2CF9AE}" pid="5" name="MSIP_Label_89eb5799-d0fd-4e27-b9df-61ef8d68c68c_Name">
    <vt:lpwstr>89eb5799-d0fd-4e27-b9df-61ef8d68c68c</vt:lpwstr>
  </property>
  <property fmtid="{D5CDD505-2E9C-101B-9397-08002B2CF9AE}" pid="6" name="MSIP_Label_89eb5799-d0fd-4e27-b9df-61ef8d68c68c_SiteId">
    <vt:lpwstr>d6a1cf8c-768e-4187-a738-b6e50c4deb4a</vt:lpwstr>
  </property>
  <property fmtid="{D5CDD505-2E9C-101B-9397-08002B2CF9AE}" pid="7" name="MSIP_Label_89eb5799-d0fd-4e27-b9df-61ef8d68c68c_ActionId">
    <vt:lpwstr>8c86ae0e-ce29-40c6-91ce-5596c4ef48e4</vt:lpwstr>
  </property>
  <property fmtid="{D5CDD505-2E9C-101B-9397-08002B2CF9AE}" pid="8" name="MSIP_Label_89eb5799-d0fd-4e27-b9df-61ef8d68c68c_ContentBits">
    <vt:lpwstr>0</vt:lpwstr>
  </property>
</Properties>
</file>