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E8AC2" w14:textId="77777777" w:rsidR="00E4509F" w:rsidRPr="005B1EB5" w:rsidRDefault="00E4509F" w:rsidP="00E4509F">
      <w:pPr>
        <w:spacing w:line="360" w:lineRule="auto"/>
        <w:jc w:val="center"/>
        <w:rPr>
          <w:rFonts w:ascii="Century Gothic" w:hAnsi="Century Gothic"/>
          <w:b/>
          <w:noProof/>
          <w:sz w:val="32"/>
          <w:szCs w:val="32"/>
        </w:rPr>
      </w:pPr>
      <w:r>
        <w:rPr>
          <w:rFonts w:ascii="Century Gothic" w:hAnsi="Century Gothic"/>
          <w:b/>
          <w:sz w:val="32"/>
        </w:rPr>
        <w:t>Diapositives commentées: apprenant-e-s – module 3</w:t>
      </w:r>
    </w:p>
    <w:p w14:paraId="3C3E259E" w14:textId="77777777" w:rsidR="00E4509F" w:rsidRPr="0083752A" w:rsidRDefault="00E4509F" w:rsidP="00E4509F">
      <w:pPr>
        <w:rPr>
          <w:rFonts w:ascii="Century Gothic" w:hAnsi="Century Gothic"/>
        </w:rPr>
      </w:pPr>
      <w:bookmarkStart w:id="0" w:name="_Toc271720289"/>
    </w:p>
    <w:p w14:paraId="37360307" w14:textId="77777777" w:rsidR="00E4509F" w:rsidRPr="0083752A" w:rsidRDefault="00E4509F" w:rsidP="00E4509F">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E4509F" w:rsidRPr="0083752A" w14:paraId="655ED9FD" w14:textId="77777777" w:rsidTr="00D86B1E">
        <w:tc>
          <w:tcPr>
            <w:tcW w:w="4536" w:type="dxa"/>
          </w:tcPr>
          <w:p w14:paraId="2E1EFB36"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337FA2" wp14:editId="155F0793">
                  <wp:extent cx="2734167" cy="1537968"/>
                  <wp:effectExtent l="19050" t="19050" r="9525" b="2476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75980E05"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Les apprenant-e-s peuvent utiliser le module 3 pour faire évoluer leur idée en un modèle d’entreprise </w:t>
            </w:r>
            <w:r>
              <w:rPr>
                <w:rFonts w:ascii="Century Gothic" w:hAnsi="Century Gothic"/>
                <w:sz w:val="16"/>
                <w:u w:val="single"/>
              </w:rPr>
              <w:t>cohérent</w:t>
            </w:r>
            <w:r>
              <w:rPr>
                <w:rFonts w:ascii="Century Gothic" w:hAnsi="Century Gothic"/>
                <w:sz w:val="16"/>
              </w:rPr>
              <w:t>. Les différents éléments du modèle d’entreprise doivent former un tout harmonieux et les aspects de durabilité doivent en faire partie intégrante. De plus, les apprenant-e-s doivent définir ce qui distingue leur entreprise des autres et ce qui la rend spéciale (caractéristique distinctive).</w:t>
            </w:r>
          </w:p>
        </w:tc>
      </w:tr>
      <w:tr w:rsidR="00E4509F" w:rsidRPr="0083752A" w14:paraId="1857B9F6" w14:textId="77777777" w:rsidTr="00D86B1E">
        <w:tc>
          <w:tcPr>
            <w:tcW w:w="4536" w:type="dxa"/>
          </w:tcPr>
          <w:p w14:paraId="02DDA8A3"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7D9FDD5" wp14:editId="45D3CA0F">
                  <wp:extent cx="2734167" cy="1537968"/>
                  <wp:effectExtent l="19050" t="19050" r="9525" b="2476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0C9B3402" w14:textId="77777777" w:rsidR="00E4509F"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3926EC73" w14:textId="77777777" w:rsidR="00E4509F"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en mesure d’expliquer les différents éléments d’un modèle d’entreprise et leur interaction.</w:t>
            </w:r>
          </w:p>
          <w:p w14:paraId="2549B955" w14:textId="77777777" w:rsidR="00E4509F" w:rsidRPr="00EF066B"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peuvent expliquer comment le thème de la durabilité peut être intégré dans les modèles d’entreprise.</w:t>
            </w:r>
          </w:p>
        </w:tc>
      </w:tr>
      <w:tr w:rsidR="00E4509F" w:rsidRPr="0083752A" w14:paraId="08A2BD87" w14:textId="77777777" w:rsidTr="00D86B1E">
        <w:tc>
          <w:tcPr>
            <w:tcW w:w="4536" w:type="dxa"/>
          </w:tcPr>
          <w:p w14:paraId="7885E22A"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7BEE31C" wp14:editId="0DCE0786">
                  <wp:extent cx="2731134" cy="1536262"/>
                  <wp:effectExtent l="19050" t="19050" r="12700" b="260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342504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Un modèle d’entreprise explique le fonctionnement d’une entreprise. En d’autres termes: un modèle d’entreprise explique la «logique» d’une entreprise.</w:t>
            </w:r>
          </w:p>
          <w:p w14:paraId="620DB62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nombre d’éléments d’un modèle d’entreprise varie selon les modèles. myidea.ch a choisi une version simple composée de quatre éléments illustrant les principaux aspects.</w:t>
            </w:r>
          </w:p>
          <w:p w14:paraId="43114577" w14:textId="77777777" w:rsidR="00E4509F" w:rsidRPr="006C193B" w:rsidRDefault="00E4509F" w:rsidP="00D86B1E">
            <w:pPr>
              <w:spacing w:before="120" w:after="40"/>
              <w:rPr>
                <w:rFonts w:ascii="Century Gothic" w:eastAsia="Arial Unicode MS" w:hAnsi="Century Gothic"/>
                <w:sz w:val="16"/>
                <w:szCs w:val="16"/>
              </w:rPr>
            </w:pPr>
            <w:r>
              <w:rPr>
                <w:rFonts w:ascii="Century Gothic" w:hAnsi="Century Gothic"/>
                <w:sz w:val="16"/>
              </w:rPr>
              <w:t>Cependant, les apprenant-e-s peuvent également utiliser le Business Model Canvas plus détaillé présenté sur les diapositives suivantes.</w:t>
            </w:r>
          </w:p>
        </w:tc>
      </w:tr>
      <w:tr w:rsidR="00E4509F" w:rsidRPr="0083752A" w14:paraId="025DC0DA" w14:textId="77777777" w:rsidTr="00D86B1E">
        <w:tc>
          <w:tcPr>
            <w:tcW w:w="4536" w:type="dxa"/>
          </w:tcPr>
          <w:p w14:paraId="664D889B"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60DEC50" wp14:editId="7DF61E92">
                  <wp:extent cx="2734167" cy="1537969"/>
                  <wp:effectExtent l="19050" t="19050" r="9525" b="2476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77E94B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Il convient de commencer par les considérations relatives à la proposition de valeur, puis de réfléchir à qui elle doit profiter (groupe cible) et, enfin, de définir la manière dont cet avantage peut être concrétisé (prestation fournie).</w:t>
            </w:r>
          </w:p>
          <w:p w14:paraId="5E1C650E"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Certaines présentations de modèles d’entreprise utilisent le terme «promesse de valeur» à la place du terme «proposition de valeur» utilisé ici, de même que le terme «création de valeur » ou «architecture de la prestation» à la place de «prestation fournie».</w:t>
            </w:r>
          </w:p>
        </w:tc>
      </w:tr>
      <w:tr w:rsidR="00E4509F" w:rsidRPr="0083752A" w14:paraId="5C67D653" w14:textId="77777777" w:rsidTr="00D86B1E">
        <w:tc>
          <w:tcPr>
            <w:tcW w:w="4536" w:type="dxa"/>
          </w:tcPr>
          <w:p w14:paraId="61BC1AD9"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36208B5" wp14:editId="212F3FD3">
                  <wp:extent cx="2737484" cy="1539834"/>
                  <wp:effectExtent l="19050" t="19050" r="25400" b="2286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85EE4C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 présente diapositive reprend les questions essentielles auxquelles doit répondre un modèle d’entreprise:</w:t>
            </w:r>
          </w:p>
          <w:p w14:paraId="3B7A9C8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Que faut-il produire, pour qui et comment? Comment cette activité permet-elle de gagner de l’argent?</w:t>
            </w:r>
          </w:p>
          <w:p w14:paraId="69D2B2EA"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Il est primordial que les éléments soient alignés et se renforcent mutuellement, p. ex.:</w:t>
            </w:r>
          </w:p>
          <w:p w14:paraId="5326A1BC"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Pr>
                <w:rFonts w:ascii="Century Gothic" w:hAnsi="Century Gothic"/>
                <w:b/>
                <w:sz w:val="16"/>
              </w:rPr>
              <w:t>Proposition de valeur et groupe cible:</w:t>
            </w:r>
            <w:r>
              <w:rPr>
                <w:rFonts w:ascii="Century Gothic" w:hAnsi="Century Gothic"/>
                <w:sz w:val="16"/>
              </w:rPr>
              <w:t xml:space="preserve"> il s’agit d’identifier quel avantage doit être créé pour quel groupe cible ou quel problème doit être résolu pour quel groupe cible.</w:t>
            </w:r>
          </w:p>
          <w:p w14:paraId="0C178443"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Pr>
                <w:rFonts w:ascii="Century Gothic" w:hAnsi="Century Gothic"/>
                <w:b/>
                <w:sz w:val="16"/>
              </w:rPr>
              <w:t xml:space="preserve">Prestation fournie et proposition de valeur: </w:t>
            </w:r>
            <w:r>
              <w:rPr>
                <w:rFonts w:ascii="Century Gothic" w:hAnsi="Century Gothic"/>
                <w:sz w:val="16"/>
              </w:rPr>
              <w:t>il est important de comprendre exactement la manière dont la proposition de valeur doit être concrétisée, p. ex.: Quel est le niveau de qualité à atteindre? À quels moments le contact direct avec la clientèle est-il important? Quelles prestations les fondateurs/-</w:t>
            </w:r>
            <w:proofErr w:type="spellStart"/>
            <w:r>
              <w:rPr>
                <w:rFonts w:ascii="Century Gothic" w:hAnsi="Century Gothic"/>
                <w:sz w:val="16"/>
              </w:rPr>
              <w:t>trices</w:t>
            </w:r>
            <w:proofErr w:type="spellEnd"/>
            <w:r>
              <w:rPr>
                <w:rFonts w:ascii="Century Gothic" w:hAnsi="Century Gothic"/>
                <w:sz w:val="16"/>
              </w:rPr>
              <w:t xml:space="preserve"> doivent-ils/elles fournir eux/elles-mêmes et quelles sont celles qui peuvent être fournies aussi bien, voire mieux, par des partenaires?</w:t>
            </w:r>
          </w:p>
          <w:p w14:paraId="7D39C572" w14:textId="77777777" w:rsidR="00E4509F" w:rsidRPr="00C2168A"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Pr>
                <w:rFonts w:ascii="Century Gothic" w:hAnsi="Century Gothic"/>
                <w:b/>
                <w:sz w:val="16"/>
              </w:rPr>
              <w:t xml:space="preserve">Prestation fournie et coûts: </w:t>
            </w:r>
            <w:r>
              <w:rPr>
                <w:rFonts w:ascii="Century Gothic" w:hAnsi="Century Gothic"/>
                <w:sz w:val="16"/>
              </w:rPr>
              <w:t>la façon dont  la prestation fournie est conçue détermine la structure de coûts d’une entreprise.</w:t>
            </w:r>
          </w:p>
          <w:p w14:paraId="2C588EB7"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301188FB" w14:textId="77777777" w:rsidTr="00D86B1E">
        <w:tc>
          <w:tcPr>
            <w:tcW w:w="4536" w:type="dxa"/>
          </w:tcPr>
          <w:p w14:paraId="169611CF"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3F2FEC3" wp14:editId="03EC6B5F">
                  <wp:extent cx="2734167" cy="1537968"/>
                  <wp:effectExtent l="19050" t="19050" r="9525" b="2476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1635FC02"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modèle d’entreprise de </w:t>
            </w:r>
            <w:proofErr w:type="spellStart"/>
            <w:r>
              <w:rPr>
                <w:rFonts w:ascii="Century Gothic" w:hAnsi="Century Gothic"/>
                <w:sz w:val="16"/>
              </w:rPr>
              <w:t>mymuesli</w:t>
            </w:r>
            <w:proofErr w:type="spellEnd"/>
            <w:r>
              <w:rPr>
                <w:rFonts w:ascii="Century Gothic" w:hAnsi="Century Gothic"/>
                <w:sz w:val="16"/>
              </w:rPr>
              <w:t xml:space="preserve"> est présenté ici à titre d’exemple. L’entreprise a été fondée en 2007 par </w:t>
            </w:r>
            <w:proofErr w:type="spellStart"/>
            <w:r>
              <w:rPr>
                <w:rFonts w:ascii="Century Gothic" w:hAnsi="Century Gothic"/>
                <w:sz w:val="16"/>
              </w:rPr>
              <w:t>Hubertus</w:t>
            </w:r>
            <w:proofErr w:type="spellEnd"/>
            <w:r>
              <w:rPr>
                <w:rFonts w:ascii="Century Gothic" w:hAnsi="Century Gothic"/>
                <w:sz w:val="16"/>
              </w:rPr>
              <w:t> </w:t>
            </w:r>
            <w:proofErr w:type="spellStart"/>
            <w:r>
              <w:rPr>
                <w:rFonts w:ascii="Century Gothic" w:hAnsi="Century Gothic"/>
                <w:sz w:val="16"/>
              </w:rPr>
              <w:t>Bessau</w:t>
            </w:r>
            <w:proofErr w:type="spellEnd"/>
            <w:r>
              <w:rPr>
                <w:rFonts w:ascii="Century Gothic" w:hAnsi="Century Gothic"/>
                <w:sz w:val="16"/>
              </w:rPr>
              <w:t>, Max </w:t>
            </w:r>
            <w:proofErr w:type="spellStart"/>
            <w:r>
              <w:rPr>
                <w:rFonts w:ascii="Century Gothic" w:hAnsi="Century Gothic"/>
                <w:sz w:val="16"/>
              </w:rPr>
              <w:t>Wittrock</w:t>
            </w:r>
            <w:proofErr w:type="spellEnd"/>
            <w:r>
              <w:rPr>
                <w:rFonts w:ascii="Century Gothic" w:hAnsi="Century Gothic"/>
                <w:sz w:val="16"/>
              </w:rPr>
              <w:t xml:space="preserve"> et Philipp </w:t>
            </w:r>
            <w:proofErr w:type="spellStart"/>
            <w:r>
              <w:rPr>
                <w:rFonts w:ascii="Century Gothic" w:hAnsi="Century Gothic"/>
                <w:sz w:val="16"/>
              </w:rPr>
              <w:t>Kraiss</w:t>
            </w:r>
            <w:proofErr w:type="spellEnd"/>
            <w:r>
              <w:rPr>
                <w:rFonts w:ascii="Century Gothic" w:hAnsi="Century Gothic"/>
                <w:sz w:val="16"/>
              </w:rPr>
              <w:t xml:space="preserve">. En 2008, cette entreprise a étendu son activité en Suisse. Outre le commerce en ligne, il existe désormais des boutiques </w:t>
            </w:r>
            <w:proofErr w:type="spellStart"/>
            <w:r>
              <w:rPr>
                <w:rFonts w:ascii="Century Gothic" w:hAnsi="Century Gothic"/>
                <w:sz w:val="16"/>
              </w:rPr>
              <w:t>mymuesli</w:t>
            </w:r>
            <w:proofErr w:type="spellEnd"/>
            <w:r>
              <w:rPr>
                <w:rFonts w:ascii="Century Gothic" w:hAnsi="Century Gothic"/>
                <w:sz w:val="16"/>
              </w:rPr>
              <w:t>. En Suisse, on les trouve à Berne et à Zurich.</w:t>
            </w:r>
          </w:p>
        </w:tc>
      </w:tr>
      <w:tr w:rsidR="00E4509F" w:rsidRPr="0083752A" w14:paraId="6D181FE5" w14:textId="77777777" w:rsidTr="00D86B1E">
        <w:tc>
          <w:tcPr>
            <w:tcW w:w="4536" w:type="dxa"/>
          </w:tcPr>
          <w:p w14:paraId="2BC0DE20"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3497A7D" wp14:editId="6A61D711">
                  <wp:extent cx="2737484" cy="1539834"/>
                  <wp:effectExtent l="19050" t="19050" r="25400" b="2286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1163C68"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modèle d’entreprise de </w:t>
            </w:r>
            <w:proofErr w:type="spellStart"/>
            <w:r>
              <w:rPr>
                <w:rFonts w:ascii="Century Gothic" w:hAnsi="Century Gothic"/>
                <w:sz w:val="16"/>
              </w:rPr>
              <w:t>mymuesli</w:t>
            </w:r>
            <w:proofErr w:type="spellEnd"/>
            <w:r>
              <w:rPr>
                <w:rFonts w:ascii="Century Gothic" w:hAnsi="Century Gothic"/>
                <w:sz w:val="16"/>
              </w:rPr>
              <w:t xml:space="preserve"> présenté ici à titre d’exemple a été simplifié.</w:t>
            </w:r>
          </w:p>
        </w:tc>
      </w:tr>
      <w:tr w:rsidR="00E4509F" w:rsidRPr="0083752A" w14:paraId="69D937D2" w14:textId="77777777" w:rsidTr="00D86B1E">
        <w:tc>
          <w:tcPr>
            <w:tcW w:w="4536" w:type="dxa"/>
          </w:tcPr>
          <w:p w14:paraId="518C8449" w14:textId="77777777" w:rsidR="00E4509F" w:rsidRPr="008C3ADC"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F7A6378" wp14:editId="17408CE5">
                  <wp:extent cx="2733038" cy="1537334"/>
                  <wp:effectExtent l="19050" t="19050" r="10795" b="2540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16BBB42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deuxième exemple exposé est le modèle d’entreprise de </w:t>
            </w:r>
            <w:proofErr w:type="spellStart"/>
            <w:r>
              <w:rPr>
                <w:rFonts w:ascii="Century Gothic" w:hAnsi="Century Gothic"/>
                <w:sz w:val="16"/>
              </w:rPr>
              <w:t>Carvolution</w:t>
            </w:r>
            <w:proofErr w:type="spellEnd"/>
            <w:r>
              <w:rPr>
                <w:rFonts w:ascii="Century Gothic" w:hAnsi="Century Gothic"/>
                <w:sz w:val="16"/>
              </w:rPr>
              <w:t xml:space="preserve">. Nous avons délibérément choisi un exemple dans lequel l’un des co-fondateurs est une femme, et qui plus est dans une branche à dominance masculine comme celle de l’automobile. </w:t>
            </w:r>
          </w:p>
          <w:p w14:paraId="39FBB2A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En Suisse, les hommes sont toujours plus nombreux à fonder une entreprise que les femmes. Nous espérons que cet exemple positif saura encourager les femmes à envisager la création d’une entreprise.</w:t>
            </w:r>
          </w:p>
          <w:p w14:paraId="0802ADFB"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La vidéo (voir le lien à droite de la diapositive) peut servir d’exemple de pitch réussi. Elle explique notamment très clairement les avantages pour les client-e-s ainsi que l’offre de l’entreprise.</w:t>
            </w:r>
          </w:p>
        </w:tc>
      </w:tr>
      <w:tr w:rsidR="00E4509F" w:rsidRPr="0083752A" w14:paraId="30C15169" w14:textId="77777777" w:rsidTr="00D86B1E">
        <w:tc>
          <w:tcPr>
            <w:tcW w:w="4536" w:type="dxa"/>
          </w:tcPr>
          <w:p w14:paraId="4D3F51A0" w14:textId="77777777" w:rsidR="00E4509F" w:rsidRPr="001D6F7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08C2D890" wp14:editId="2739B466">
                  <wp:extent cx="2733038" cy="1537334"/>
                  <wp:effectExtent l="19050" t="19050" r="10795" b="2540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112B34E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 fiche descriptive montre que l’entreprise a connu une croissance importante en peu de temps et employait déjà plus de 40 personnes en décembre 2020.</w:t>
            </w:r>
          </w:p>
          <w:p w14:paraId="41994A39"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Elle atteste en outre qu’une start-up peut être fondée avec succès par une grande équipe, soit cinq personnes dans le cas présent.</w:t>
            </w:r>
          </w:p>
        </w:tc>
      </w:tr>
      <w:tr w:rsidR="00E4509F" w:rsidRPr="0083752A" w14:paraId="34711CE4" w14:textId="77777777" w:rsidTr="00D86B1E">
        <w:tc>
          <w:tcPr>
            <w:tcW w:w="4536" w:type="dxa"/>
          </w:tcPr>
          <w:p w14:paraId="035D07C8" w14:textId="77777777" w:rsidR="00E4509F" w:rsidRPr="008C3ADC"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166F56D" wp14:editId="4FEE5BAB">
                  <wp:extent cx="2733674" cy="1537691"/>
                  <wp:effectExtent l="19050" t="19050" r="10160" b="24765"/>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fik 2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3674" cy="1537691"/>
                          </a:xfrm>
                          <a:prstGeom prst="rect">
                            <a:avLst/>
                          </a:prstGeom>
                          <a:noFill/>
                          <a:ln>
                            <a:solidFill>
                              <a:schemeClr val="tx1"/>
                            </a:solidFill>
                          </a:ln>
                        </pic:spPr>
                      </pic:pic>
                    </a:graphicData>
                  </a:graphic>
                </wp:inline>
              </w:drawing>
            </w:r>
          </w:p>
        </w:tc>
        <w:tc>
          <w:tcPr>
            <w:tcW w:w="4820" w:type="dxa"/>
          </w:tcPr>
          <w:p w14:paraId="230046F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modèle d’entreprise de </w:t>
            </w:r>
            <w:proofErr w:type="spellStart"/>
            <w:r>
              <w:rPr>
                <w:rFonts w:ascii="Century Gothic" w:hAnsi="Century Gothic"/>
                <w:sz w:val="16"/>
              </w:rPr>
              <w:t>Carvolution</w:t>
            </w:r>
            <w:proofErr w:type="spellEnd"/>
            <w:r>
              <w:rPr>
                <w:rFonts w:ascii="Century Gothic" w:hAnsi="Century Gothic"/>
                <w:sz w:val="16"/>
              </w:rPr>
              <w:t xml:space="preserve"> a été élaboré avec le soutien de sa co-fondatrice Léa </w:t>
            </w:r>
            <w:proofErr w:type="spellStart"/>
            <w:r>
              <w:rPr>
                <w:rFonts w:ascii="Century Gothic" w:hAnsi="Century Gothic"/>
                <w:sz w:val="16"/>
              </w:rPr>
              <w:t>Miggiano</w:t>
            </w:r>
            <w:proofErr w:type="spellEnd"/>
            <w:r>
              <w:rPr>
                <w:rFonts w:ascii="Century Gothic" w:hAnsi="Century Gothic"/>
                <w:sz w:val="16"/>
              </w:rPr>
              <w:t>.</w:t>
            </w:r>
          </w:p>
          <w:p w14:paraId="5CAE69B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 modèle comporte de nombreux détails. On pourrait p. ex. relever les aspects suivants:</w:t>
            </w:r>
          </w:p>
          <w:p w14:paraId="2A1B3780"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hAnsi="Century Gothic"/>
                <w:sz w:val="16"/>
              </w:rPr>
              <w:t>L’entreprise a plusieurs groupes cibles. Les deux grandes catégories sont les particuliers («business to consumer») et la clientèle professionnelle («business to business»).</w:t>
            </w:r>
          </w:p>
          <w:p w14:paraId="712CFA0C"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hAnsi="Century Gothic"/>
                <w:sz w:val="16"/>
              </w:rPr>
              <w:t>La proposition de valeur est très convaincante et facile à communiquer aux client-e-s.</w:t>
            </w:r>
          </w:p>
          <w:p w14:paraId="65818250" w14:textId="77777777" w:rsidR="00E4509F" w:rsidRPr="00E95451"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hAnsi="Century Gothic"/>
                <w:sz w:val="16"/>
              </w:rPr>
              <w:t xml:space="preserve">Le modèle d’entreprise nécessite un capital important pour l’acquisition de la flotte de véhicules. Ce point sera également abordé plus tard, lorsque </w:t>
            </w:r>
            <w:proofErr w:type="spellStart"/>
            <w:r>
              <w:rPr>
                <w:rFonts w:ascii="Century Gothic" w:hAnsi="Century Gothic"/>
                <w:sz w:val="16"/>
              </w:rPr>
              <w:t>Carvolution</w:t>
            </w:r>
            <w:proofErr w:type="spellEnd"/>
            <w:r>
              <w:rPr>
                <w:rFonts w:ascii="Century Gothic" w:hAnsi="Century Gothic"/>
                <w:sz w:val="16"/>
              </w:rPr>
              <w:t xml:space="preserve"> servira de nouveau d’exemple dans le Module de formation M 5.2, Sources de financement.</w:t>
            </w:r>
          </w:p>
        </w:tc>
      </w:tr>
      <w:tr w:rsidR="00E4509F" w:rsidRPr="0083752A" w14:paraId="03AE28A2" w14:textId="77777777" w:rsidTr="00D86B1E">
        <w:tc>
          <w:tcPr>
            <w:tcW w:w="4536" w:type="dxa"/>
          </w:tcPr>
          <w:p w14:paraId="726E2AE5"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37152F4" wp14:editId="519AF2D4">
                  <wp:extent cx="2731134" cy="1536262"/>
                  <wp:effectExtent l="19050" t="19050" r="12700" b="260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7708BC1"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6E5AC46B" w14:textId="77777777" w:rsidTr="00D86B1E">
        <w:tc>
          <w:tcPr>
            <w:tcW w:w="4536" w:type="dxa"/>
          </w:tcPr>
          <w:p w14:paraId="4B598733"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AB4627C" wp14:editId="1EA4D12F">
                  <wp:extent cx="2737484" cy="1539834"/>
                  <wp:effectExtent l="19050" t="19050" r="25400" b="2286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4A479C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Business Model Canvas développé par Alexander </w:t>
            </w:r>
            <w:proofErr w:type="spellStart"/>
            <w:r>
              <w:rPr>
                <w:rFonts w:ascii="Century Gothic" w:hAnsi="Century Gothic"/>
                <w:sz w:val="16"/>
              </w:rPr>
              <w:t>Osterwalder</w:t>
            </w:r>
            <w:proofErr w:type="spellEnd"/>
            <w:r>
              <w:rPr>
                <w:rFonts w:ascii="Century Gothic" w:hAnsi="Century Gothic"/>
                <w:sz w:val="16"/>
              </w:rPr>
              <w:t xml:space="preserve"> est un outil plus détaillé que le modèle précité.</w:t>
            </w:r>
          </w:p>
          <w:p w14:paraId="74E0C7B8"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d’un niveau d’apprentissage supérieur peuvent utiliser cet outil.</w:t>
            </w:r>
          </w:p>
        </w:tc>
      </w:tr>
      <w:tr w:rsidR="00E4509F" w:rsidRPr="00984925" w14:paraId="460D6C64" w14:textId="77777777" w:rsidTr="00D86B1E">
        <w:tc>
          <w:tcPr>
            <w:tcW w:w="4536" w:type="dxa"/>
          </w:tcPr>
          <w:p w14:paraId="2B2E3056"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7C25AC2" wp14:editId="0BCF968E">
                  <wp:extent cx="2737484" cy="1539834"/>
                  <wp:effectExtent l="19050" t="19050" r="25400" b="2286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60129A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Vous trouverez sur Internet de plus amples informations sur le Business Model Canvas, notamment sur ce  site:</w:t>
            </w:r>
          </w:p>
          <w:p w14:paraId="15A71641" w14:textId="77777777" w:rsidR="00E4509F" w:rsidRPr="003A24A2" w:rsidRDefault="00E4509F" w:rsidP="00D86B1E">
            <w:pPr>
              <w:spacing w:before="120" w:after="40"/>
              <w:rPr>
                <w:rFonts w:ascii="Century Gothic" w:eastAsia="Arial Unicode MS" w:hAnsi="Century Gothic"/>
                <w:sz w:val="16"/>
                <w:szCs w:val="16"/>
                <w:lang w:val="en-GB"/>
              </w:rPr>
            </w:pPr>
            <w:r w:rsidRPr="003A24A2">
              <w:rPr>
                <w:rFonts w:ascii="Century Gothic" w:hAnsi="Century Gothic"/>
                <w:sz w:val="16"/>
                <w:lang w:val="en-GB"/>
              </w:rPr>
              <w:t>strategyzer.com/canvas/business-model-canvas</w:t>
            </w:r>
          </w:p>
        </w:tc>
      </w:tr>
      <w:tr w:rsidR="00E4509F" w:rsidRPr="0083752A" w14:paraId="607417C0" w14:textId="77777777" w:rsidTr="00D86B1E">
        <w:tc>
          <w:tcPr>
            <w:tcW w:w="4536" w:type="dxa"/>
          </w:tcPr>
          <w:p w14:paraId="0C041BB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C88D98C" wp14:editId="728F760D">
                  <wp:extent cx="2731134" cy="1536262"/>
                  <wp:effectExtent l="19050" t="19050" r="12700" b="2603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14A6DCD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 problématique de la durabilité doit être intégrée au  développement du modèle d’entreprise dès le début et faire partie intégrante de chacun de ses éléments.</w:t>
            </w:r>
          </w:p>
        </w:tc>
      </w:tr>
      <w:tr w:rsidR="00E4509F" w:rsidRPr="0083752A" w14:paraId="208EB741" w14:textId="77777777" w:rsidTr="00D86B1E">
        <w:tc>
          <w:tcPr>
            <w:tcW w:w="4536" w:type="dxa"/>
          </w:tcPr>
          <w:p w14:paraId="60BFF831" w14:textId="77777777" w:rsidR="00E4509F" w:rsidRPr="00BF5B77"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0D65D9D" wp14:editId="0DEFE9FC">
                  <wp:extent cx="2734167" cy="1537969"/>
                  <wp:effectExtent l="19050" t="19050" r="9525" b="2476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3FA148AB" w14:textId="77777777" w:rsidR="00E4509F" w:rsidRPr="00FE0CD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Cette intégration peut se faire de différentes manières. Les calculs des «Global </w:t>
            </w:r>
            <w:proofErr w:type="spellStart"/>
            <w:r>
              <w:rPr>
                <w:rFonts w:ascii="Century Gothic" w:hAnsi="Century Gothic"/>
                <w:sz w:val="16"/>
              </w:rPr>
              <w:t>Footprint</w:t>
            </w:r>
            <w:proofErr w:type="spellEnd"/>
            <w:r>
              <w:rPr>
                <w:rFonts w:ascii="Century Gothic" w:hAnsi="Century Gothic"/>
                <w:sz w:val="16"/>
              </w:rPr>
              <w:t xml:space="preserve"> Networks» sont l’une des nombreuses possibilités (</w:t>
            </w:r>
            <w:hyperlink r:id="rId22" w:history="1">
              <w:r>
                <w:rPr>
                  <w:rStyle w:val="Hyperlink"/>
                  <w:rFonts w:ascii="Century Gothic" w:hAnsi="Century Gothic"/>
                  <w:sz w:val="16"/>
                </w:rPr>
                <w:t>footprintcalculator.org/</w:t>
              </w:r>
            </w:hyperlink>
            <w:r>
              <w:rPr>
                <w:rFonts w:ascii="Century Gothic" w:hAnsi="Century Gothic"/>
                <w:sz w:val="16"/>
              </w:rPr>
              <w:t>).</w:t>
            </w:r>
          </w:p>
          <w:p w14:paraId="296D8BEF" w14:textId="77777777" w:rsidR="00E4509F" w:rsidRPr="00FE0CDF" w:rsidRDefault="00E4509F" w:rsidP="00D86B1E">
            <w:pPr>
              <w:spacing w:before="120" w:after="40"/>
              <w:rPr>
                <w:rFonts w:ascii="Century Gothic" w:eastAsia="Arial Unicode MS" w:hAnsi="Century Gothic"/>
                <w:b/>
                <w:sz w:val="16"/>
                <w:szCs w:val="16"/>
              </w:rPr>
            </w:pPr>
            <w:r>
              <w:rPr>
                <w:rFonts w:ascii="Century Gothic" w:hAnsi="Century Gothic"/>
                <w:b/>
                <w:sz w:val="16"/>
              </w:rPr>
              <w:t>Ressources de éducation21</w:t>
            </w:r>
          </w:p>
          <w:p w14:paraId="6A9E120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Si vous souhaitez approfondir vos connaissances en matière de durabilité, la fondation éducation21, le Centre national de compétences et de prestations pour l’éducation en vue d’un développement durable (EDD) en Suisse, met à disposition une multitude d’excellentes ressources.</w:t>
            </w:r>
          </w:p>
          <w:p w14:paraId="4D27B92B" w14:textId="77777777" w:rsidR="00E4509F" w:rsidRPr="00FE0CD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Vous trouverez ainsi sur son site Internet, entre autres, les </w:t>
            </w:r>
            <w:r>
              <w:rPr>
                <w:rFonts w:ascii="Century Gothic" w:hAnsi="Century Gothic"/>
                <w:sz w:val="16"/>
                <w:shd w:val="clear" w:color="auto" w:fill="FFFFFF"/>
              </w:rPr>
              <w:t>«</w:t>
            </w:r>
            <w:proofErr w:type="spellStart"/>
            <w:r w:rsidR="003A24A2">
              <w:fldChar w:fldCharType="begin"/>
            </w:r>
            <w:r w:rsidR="003A24A2">
              <w:instrText xml:space="preserve"> HYPERLINK "https://catalogue.education21.ch/de/mystery-leitfaden" </w:instrText>
            </w:r>
            <w:r w:rsidR="003A24A2">
              <w:fldChar w:fldCharType="separate"/>
            </w:r>
            <w:r>
              <w:rPr>
                <w:rStyle w:val="Hyperlink"/>
                <w:rFonts w:ascii="Century Gothic" w:hAnsi="Century Gothic"/>
                <w:sz w:val="16"/>
                <w:shd w:val="clear" w:color="auto" w:fill="FFFFFF"/>
              </w:rPr>
              <w:t>Mysterys</w:t>
            </w:r>
            <w:proofErr w:type="spellEnd"/>
            <w:r w:rsidR="003A24A2">
              <w:rPr>
                <w:rStyle w:val="Hyperlink"/>
                <w:rFonts w:ascii="Century Gothic" w:hAnsi="Century Gothic"/>
                <w:sz w:val="16"/>
                <w:shd w:val="clear" w:color="auto" w:fill="FFFFFF"/>
              </w:rPr>
              <w:fldChar w:fldCharType="end"/>
            </w:r>
            <w:r>
              <w:rPr>
                <w:rFonts w:ascii="Century Gothic" w:hAnsi="Century Gothic"/>
                <w:sz w:val="16"/>
                <w:shd w:val="clear" w:color="auto" w:fill="FFFFFF"/>
              </w:rPr>
              <w:t>», qui peuvent être utilisés pour faire découvrir aux apprenant-e-s les interactions complexes d’une économie mondialisée.</w:t>
            </w:r>
            <w:r>
              <w:rPr>
                <w:rFonts w:ascii="Century Gothic" w:hAnsi="Century Gothic"/>
                <w:sz w:val="16"/>
              </w:rPr>
              <w:t xml:space="preserve"> Ces </w:t>
            </w:r>
            <w:proofErr w:type="spellStart"/>
            <w:r>
              <w:rPr>
                <w:rFonts w:ascii="Century Gothic" w:hAnsi="Century Gothic"/>
                <w:sz w:val="16"/>
              </w:rPr>
              <w:t>Mysterys</w:t>
            </w:r>
            <w:proofErr w:type="spellEnd"/>
            <w:r>
              <w:rPr>
                <w:rFonts w:ascii="Century Gothic" w:hAnsi="Century Gothic"/>
                <w:sz w:val="16"/>
              </w:rPr>
              <w:t xml:space="preserve"> ont toujours un lien avec la vie quotidienne des apprenant-e-s.</w:t>
            </w:r>
          </w:p>
          <w:p w14:paraId="07F779CC" w14:textId="77777777" w:rsidR="00E4509F" w:rsidRPr="00EB365C" w:rsidRDefault="00984925" w:rsidP="00D86B1E">
            <w:pPr>
              <w:pStyle w:val="Listenabsatz"/>
              <w:numPr>
                <w:ilvl w:val="0"/>
                <w:numId w:val="31"/>
              </w:numPr>
              <w:spacing w:after="100" w:afterAutospacing="1" w:line="240" w:lineRule="auto"/>
              <w:ind w:left="210" w:hanging="210"/>
              <w:contextualSpacing w:val="0"/>
              <w:rPr>
                <w:rFonts w:ascii="Century Gothic" w:hAnsi="Century Gothic" w:cs="Arial"/>
                <w:sz w:val="16"/>
                <w:szCs w:val="16"/>
                <w:shd w:val="clear" w:color="auto" w:fill="FFFFFF"/>
              </w:rPr>
            </w:pPr>
            <w:hyperlink r:id="rId23" w:history="1">
              <w:proofErr w:type="spellStart"/>
              <w:r w:rsidR="00811BA9">
                <w:rPr>
                  <w:rStyle w:val="Hyperlink"/>
                  <w:rFonts w:ascii="Century Gothic" w:hAnsi="Century Gothic"/>
                  <w:sz w:val="16"/>
                  <w:shd w:val="clear" w:color="auto" w:fill="FFFFFF"/>
                </w:rPr>
                <w:t>Mystery</w:t>
              </w:r>
              <w:proofErr w:type="spellEnd"/>
              <w:r w:rsidR="00811BA9">
                <w:rPr>
                  <w:rStyle w:val="Hyperlink"/>
                  <w:rFonts w:ascii="Century Gothic" w:hAnsi="Century Gothic"/>
                  <w:sz w:val="16"/>
                  <w:shd w:val="clear" w:color="auto" w:fill="FFFFFF"/>
                </w:rPr>
                <w:t xml:space="preserve"> L’eau virtuelle</w:t>
              </w:r>
            </w:hyperlink>
            <w:r w:rsidR="00811BA9">
              <w:rPr>
                <w:rFonts w:ascii="Century Gothic" w:hAnsi="Century Gothic"/>
                <w:sz w:val="16"/>
                <w:shd w:val="clear" w:color="auto" w:fill="FFFFFF"/>
              </w:rPr>
              <w:t xml:space="preserve"> (industrie textile/production de coton)</w:t>
            </w:r>
          </w:p>
          <w:p w14:paraId="3C082C0D" w14:textId="77777777" w:rsidR="00E4509F" w:rsidRDefault="00984925" w:rsidP="00D86B1E">
            <w:pPr>
              <w:spacing w:before="120" w:after="40"/>
              <w:rPr>
                <w:rFonts w:ascii="Century Gothic" w:eastAsia="Arial Unicode MS" w:hAnsi="Century Gothic"/>
                <w:sz w:val="16"/>
                <w:szCs w:val="16"/>
              </w:rPr>
            </w:pPr>
            <w:hyperlink r:id="rId24" w:history="1">
              <w:proofErr w:type="spellStart"/>
              <w:r w:rsidR="00811BA9">
                <w:rPr>
                  <w:rStyle w:val="Hyperlink"/>
                  <w:rFonts w:ascii="Century Gothic" w:hAnsi="Century Gothic"/>
                  <w:sz w:val="16"/>
                  <w:shd w:val="clear" w:color="auto" w:fill="FFFFFF"/>
                </w:rPr>
                <w:t>Mystery</w:t>
              </w:r>
              <w:proofErr w:type="spellEnd"/>
              <w:r w:rsidR="00811BA9">
                <w:rPr>
                  <w:rStyle w:val="Hyperlink"/>
                  <w:rFonts w:ascii="Century Gothic" w:hAnsi="Century Gothic"/>
                  <w:sz w:val="16"/>
                  <w:shd w:val="clear" w:color="auto" w:fill="FFFFFF"/>
                </w:rPr>
                <w:t xml:space="preserve"> L’or</w:t>
              </w:r>
            </w:hyperlink>
            <w:r w:rsidR="00811BA9">
              <w:rPr>
                <w:rFonts w:ascii="Century Gothic" w:hAnsi="Century Gothic"/>
                <w:sz w:val="16"/>
                <w:shd w:val="clear" w:color="auto" w:fill="FFFFFF"/>
              </w:rPr>
              <w:t xml:space="preserve"> (extraction de matières premières/travail des enfants)</w:t>
            </w:r>
          </w:p>
        </w:tc>
      </w:tr>
      <w:tr w:rsidR="00E4509F" w:rsidRPr="0083752A" w14:paraId="6A6F02ED" w14:textId="77777777" w:rsidTr="00D86B1E">
        <w:tc>
          <w:tcPr>
            <w:tcW w:w="4536" w:type="dxa"/>
          </w:tcPr>
          <w:p w14:paraId="1E190BDC" w14:textId="77777777" w:rsidR="00E4509F" w:rsidRPr="00BF5B77"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EAB24E0" wp14:editId="3669E6C7">
                  <wp:extent cx="2731134" cy="1536262"/>
                  <wp:effectExtent l="19050" t="19050" r="12700" b="2603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1E8C931" w14:textId="77777777" w:rsidR="00E4509F" w:rsidRPr="00141EC0"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Ce graphique illustre les différents niveaux de responsabilité des entreprises. Cette pyramide s’inspire de la pyramide des quatre niveaux d’ Archie B. Carroll (professeur émérite de l’Université de Géorgie). Il avait présenté ce concept dès la fin des années 1970. </w:t>
            </w:r>
          </w:p>
          <w:p w14:paraId="1A7B4794" w14:textId="77777777" w:rsidR="00E4509F" w:rsidRPr="00141EC0" w:rsidRDefault="00E4509F" w:rsidP="00D86B1E">
            <w:pPr>
              <w:spacing w:before="120" w:after="40"/>
              <w:rPr>
                <w:rFonts w:ascii="Century Gothic" w:eastAsia="Arial Unicode MS" w:hAnsi="Century Gothic"/>
                <w:sz w:val="16"/>
                <w:szCs w:val="16"/>
              </w:rPr>
            </w:pPr>
            <w:r>
              <w:rPr>
                <w:rFonts w:ascii="Century Gothic" w:hAnsi="Century Gothic"/>
                <w:sz w:val="16"/>
              </w:rPr>
              <w:t>A. B. Carroll avait alors situé la responsabilité sociale des entreprises à quatre niveaux: (1) économique, (2) juridique, (3) éthique et (4) philanthropique. Pour Caroll, la responsabilité philanthropique est avant tout un engagement social caritatif.</w:t>
            </w:r>
          </w:p>
          <w:p w14:paraId="0675A60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Ce quatrième niveau a délibérément été intitulé «Responsabilité sociale» dans le graphique. À ce niveau, l’objectif est que les entreprises apportent une contribution positive à la société. Cette contribution peut résulter de l’engagement philanthropique, mais aussi de l’alignement correspondant de l’activité clé de l’entreprise: il est possible d’orienter l’activité principale d’une entreprise de sorte à impacter positivement le personnel, l’environnement ou même la branche toute entière (comme c’est le cas des entreprises </w:t>
            </w:r>
            <w:proofErr w:type="spellStart"/>
            <w:r>
              <w:rPr>
                <w:rFonts w:ascii="Century Gothic" w:hAnsi="Century Gothic"/>
                <w:sz w:val="16"/>
              </w:rPr>
              <w:t>Choba</w:t>
            </w:r>
            <w:proofErr w:type="spellEnd"/>
            <w:r>
              <w:rPr>
                <w:rFonts w:ascii="Century Gothic" w:hAnsi="Century Gothic"/>
                <w:sz w:val="16"/>
              </w:rPr>
              <w:t> </w:t>
            </w:r>
            <w:proofErr w:type="spellStart"/>
            <w:r>
              <w:rPr>
                <w:rFonts w:ascii="Century Gothic" w:hAnsi="Century Gothic"/>
                <w:sz w:val="16"/>
              </w:rPr>
              <w:t>Choba</w:t>
            </w:r>
            <w:proofErr w:type="spellEnd"/>
            <w:r>
              <w:rPr>
                <w:rFonts w:ascii="Century Gothic" w:hAnsi="Century Gothic"/>
                <w:sz w:val="16"/>
              </w:rPr>
              <w:t xml:space="preserve"> et </w:t>
            </w:r>
            <w:proofErr w:type="spellStart"/>
            <w:r>
              <w:rPr>
                <w:rFonts w:ascii="Century Gothic" w:hAnsi="Century Gothic"/>
                <w:sz w:val="16"/>
              </w:rPr>
              <w:t>Fairphone</w:t>
            </w:r>
            <w:proofErr w:type="spellEnd"/>
            <w:r>
              <w:rPr>
                <w:rFonts w:ascii="Century Gothic" w:hAnsi="Century Gothic"/>
                <w:sz w:val="16"/>
              </w:rPr>
              <w:t>).</w:t>
            </w:r>
          </w:p>
        </w:tc>
      </w:tr>
      <w:tr w:rsidR="00E4509F" w:rsidRPr="0083752A" w14:paraId="65BEED7A" w14:textId="77777777" w:rsidTr="00D86B1E">
        <w:tc>
          <w:tcPr>
            <w:tcW w:w="4536" w:type="dxa"/>
          </w:tcPr>
          <w:p w14:paraId="3FD03AA1" w14:textId="77777777" w:rsidR="00E4509F" w:rsidRPr="00BF5B77"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1B44421" wp14:editId="51899676">
                  <wp:extent cx="2734167" cy="1537969"/>
                  <wp:effectExtent l="19050" t="19050" r="9525" b="2476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326607F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quatre niveaux sont de nouveau expliqués ici avec l’exemple du secteur de la mode. Cet exemple montre clairement qu’il existe une grande différence entre le respect des dispositions légales («compliance») et la responsabilité éthique: dans de très nombreux pays producteurs de textiles, le respect des prescriptions légales (qui font en partie défaut et/ou dont la mise en œuvre n’est pas contrôlée de manière fiable) ne garantit plus depuis longtemps un traitement juste et équitable de la main d’œuvre. Pour agir de manière responsable d’un point de vue éthique, les entreprises doivent aller au-delà de ce qui est légalement exigé.</w:t>
            </w:r>
          </w:p>
          <w:p w14:paraId="0F4D0BB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Au niveau de la «Responsabilité sociale», nous avons évoqué deux entreprises pionnières en la matière. Bien </w:t>
            </w:r>
            <w:r>
              <w:rPr>
                <w:rFonts w:ascii="Century Gothic" w:hAnsi="Century Gothic"/>
                <w:sz w:val="16"/>
              </w:rPr>
              <w:lastRenderedPageBreak/>
              <w:t>évidemment, il en existe d’autres. Pour ce qui des «mauvais» exemples, c’est-à-dire des entreprises adeptes de la «fast fashion», nous avons délibérément renoncé à les mentionner. Ceci d’autant que ces dernières années, certaines grandes entreprises textiles ont consenti des efforts pour améliorer au moins certaines de leurs collections ou certains pans de leurs activités commerciales.</w:t>
            </w:r>
          </w:p>
          <w:p w14:paraId="19C6412C" w14:textId="77777777" w:rsidR="00E4509F" w:rsidRPr="0031062D"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Outre certaines entreprises pionnières qui s’efforcent de faire évoluer l’industrie textile, il existe désormais des initiatives efficaces réunissant un grand nombre d’acteurs qui s’engagent ensemble pour le changement. On peut ainsi citer la </w:t>
            </w:r>
            <w:hyperlink r:id="rId27" w:history="1">
              <w:r>
                <w:rPr>
                  <w:rStyle w:val="Hyperlink"/>
                  <w:rFonts w:ascii="Century Gothic" w:hAnsi="Century Gothic"/>
                  <w:sz w:val="16"/>
                </w:rPr>
                <w:t xml:space="preserve">Clean </w:t>
              </w:r>
              <w:proofErr w:type="spellStart"/>
              <w:r>
                <w:rPr>
                  <w:rStyle w:val="Hyperlink"/>
                  <w:rFonts w:ascii="Century Gothic" w:hAnsi="Century Gothic"/>
                  <w:sz w:val="16"/>
                </w:rPr>
                <w:t>Clothes</w:t>
              </w:r>
              <w:proofErr w:type="spellEnd"/>
              <w:r>
                <w:rPr>
                  <w:rStyle w:val="Hyperlink"/>
                  <w:rFonts w:ascii="Century Gothic" w:hAnsi="Century Gothic"/>
                  <w:sz w:val="16"/>
                </w:rPr>
                <w:t xml:space="preserve"> Campaign</w:t>
              </w:r>
            </w:hyperlink>
            <w:r>
              <w:rPr>
                <w:rFonts w:ascii="Century Gothic" w:hAnsi="Century Gothic"/>
                <w:sz w:val="16"/>
              </w:rPr>
              <w:t>, une alliance de plus de 250 ONG, syndicats et particuliers qui se mobilisent pour améliorer les conditions de travail dans les usines textiles avec des campagnes de sensibilisation et du lobbying politique.</w:t>
            </w:r>
          </w:p>
        </w:tc>
      </w:tr>
      <w:tr w:rsidR="00E4509F" w:rsidRPr="0083752A" w14:paraId="168FEEC2" w14:textId="77777777" w:rsidTr="00D86B1E">
        <w:tc>
          <w:tcPr>
            <w:tcW w:w="4536" w:type="dxa"/>
          </w:tcPr>
          <w:p w14:paraId="68A95FDF"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B944FEE" wp14:editId="54A29F52">
                  <wp:extent cx="2722878" cy="1531619"/>
                  <wp:effectExtent l="19050" t="19050" r="20955" b="1206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44CFE63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b/>
                <w:sz w:val="16"/>
              </w:rPr>
              <w:t xml:space="preserve">Dimension sociale. </w:t>
            </w:r>
            <w:r>
              <w:rPr>
                <w:rFonts w:ascii="Century Gothic" w:hAnsi="Century Gothic"/>
                <w:sz w:val="16"/>
              </w:rPr>
              <w:t xml:space="preserve">L’exemple du fabricant de chocolat </w:t>
            </w:r>
            <w:proofErr w:type="spellStart"/>
            <w:r>
              <w:rPr>
                <w:rFonts w:ascii="Century Gothic" w:hAnsi="Century Gothic"/>
                <w:sz w:val="16"/>
              </w:rPr>
              <w:t>Choba</w:t>
            </w:r>
            <w:proofErr w:type="spellEnd"/>
            <w:r>
              <w:rPr>
                <w:rFonts w:ascii="Century Gothic" w:hAnsi="Century Gothic"/>
                <w:sz w:val="16"/>
              </w:rPr>
              <w:t> </w:t>
            </w:r>
            <w:proofErr w:type="spellStart"/>
            <w:r>
              <w:rPr>
                <w:rFonts w:ascii="Century Gothic" w:hAnsi="Century Gothic"/>
                <w:sz w:val="16"/>
              </w:rPr>
              <w:t>Choba</w:t>
            </w:r>
            <w:proofErr w:type="spellEnd"/>
            <w:r>
              <w:rPr>
                <w:rFonts w:ascii="Century Gothic" w:hAnsi="Century Gothic"/>
                <w:sz w:val="16"/>
              </w:rPr>
              <w:t xml:space="preserve"> illustre bien comment une entreprise peut intégrer un aspect social central dans son modèle d’entreprise: la start-up bernoise (fondée en 2015) a fait des producteurs/-</w:t>
            </w:r>
            <w:proofErr w:type="spellStart"/>
            <w:r>
              <w:rPr>
                <w:rFonts w:ascii="Century Gothic" w:hAnsi="Century Gothic"/>
                <w:sz w:val="16"/>
              </w:rPr>
              <w:t>trices</w:t>
            </w:r>
            <w:proofErr w:type="spellEnd"/>
            <w:r>
              <w:rPr>
                <w:rFonts w:ascii="Century Gothic" w:hAnsi="Century Gothic"/>
                <w:sz w:val="16"/>
              </w:rPr>
              <w:t xml:space="preserve"> de cacao des </w:t>
            </w:r>
            <w:proofErr w:type="spellStart"/>
            <w:r>
              <w:rPr>
                <w:rFonts w:ascii="Century Gothic" w:hAnsi="Century Gothic"/>
                <w:sz w:val="16"/>
              </w:rPr>
              <w:t>co</w:t>
            </w:r>
            <w:proofErr w:type="spellEnd"/>
            <w:r>
              <w:rPr>
                <w:rFonts w:ascii="Century Gothic" w:hAnsi="Century Gothic"/>
                <w:sz w:val="16"/>
              </w:rPr>
              <w:t>-entrepreneurs.</w:t>
            </w:r>
          </w:p>
          <w:p w14:paraId="76BEF37D"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chocolat fabriqué par la jeune entreprise est vendu en ligne et dans certaines filiales Coop.</w:t>
            </w:r>
          </w:p>
        </w:tc>
      </w:tr>
      <w:tr w:rsidR="00E4509F" w:rsidRPr="0083752A" w14:paraId="3EFCBEB7" w14:textId="77777777" w:rsidTr="00D86B1E">
        <w:tc>
          <w:tcPr>
            <w:tcW w:w="4536" w:type="dxa"/>
          </w:tcPr>
          <w:p w14:paraId="2AC75521"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8C177DD" wp14:editId="4CCEEF59">
                  <wp:extent cx="2743198" cy="1543048"/>
                  <wp:effectExtent l="19050" t="19050" r="19685"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C19A5D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b/>
                <w:sz w:val="16"/>
              </w:rPr>
              <w:t xml:space="preserve">Dimension écologique. </w:t>
            </w:r>
            <w:r>
              <w:rPr>
                <w:rFonts w:ascii="Century Gothic" w:hAnsi="Century Gothic"/>
                <w:sz w:val="16"/>
              </w:rPr>
              <w:t xml:space="preserve">L’exemple de la collection 100% NATURE de </w:t>
            </w:r>
            <w:proofErr w:type="spellStart"/>
            <w:r>
              <w:rPr>
                <w:rFonts w:ascii="Century Gothic" w:hAnsi="Century Gothic"/>
                <w:sz w:val="16"/>
              </w:rPr>
              <w:t>Calida</w:t>
            </w:r>
            <w:proofErr w:type="spellEnd"/>
            <w:r>
              <w:rPr>
                <w:rFonts w:ascii="Century Gothic" w:hAnsi="Century Gothic"/>
                <w:sz w:val="16"/>
              </w:rPr>
              <w:t xml:space="preserve"> peut être utilisé pour illustrer une entreprise de renom pionnière dans le domaine écologique.</w:t>
            </w:r>
          </w:p>
        </w:tc>
      </w:tr>
      <w:tr w:rsidR="00E4509F" w:rsidRPr="0083752A" w14:paraId="5AFE626F" w14:textId="77777777" w:rsidTr="00D86B1E">
        <w:tc>
          <w:tcPr>
            <w:tcW w:w="4536" w:type="dxa"/>
          </w:tcPr>
          <w:p w14:paraId="012D4B80"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DC30870" wp14:editId="3D082A84">
                  <wp:extent cx="2742069" cy="1542414"/>
                  <wp:effectExtent l="19050" t="19050" r="20320" b="2032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fik 21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41B618E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b/>
                <w:sz w:val="16"/>
              </w:rPr>
              <w:t xml:space="preserve">Dimensions sociale et écologique. </w:t>
            </w:r>
            <w:r>
              <w:rPr>
                <w:rFonts w:ascii="Century Gothic" w:hAnsi="Century Gothic"/>
                <w:sz w:val="16"/>
              </w:rPr>
              <w:t xml:space="preserve">L’entreprise </w:t>
            </w:r>
            <w:proofErr w:type="spellStart"/>
            <w:r>
              <w:rPr>
                <w:rFonts w:ascii="Century Gothic" w:hAnsi="Century Gothic"/>
                <w:sz w:val="16"/>
              </w:rPr>
              <w:t>Fairphone</w:t>
            </w:r>
            <w:proofErr w:type="spellEnd"/>
            <w:r>
              <w:rPr>
                <w:rFonts w:ascii="Century Gothic" w:hAnsi="Century Gothic"/>
                <w:sz w:val="16"/>
              </w:rPr>
              <w:t xml:space="preserve"> poursuit une vision ambitieuse: elle veut non seulement intégrer autant que possible les dimensions sociale et écologique, mais aussi contribuer à ce que l’industrie électronique toute entière adopte un comportement responsable envers l’être humain et la nature.</w:t>
            </w:r>
          </w:p>
          <w:p w14:paraId="01E5767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Nous avons sélectionné ces trois exemples (chocolat, vêtements, smartphone), pour leur pertinence par rapport aux univers de vie des apprenant-e-s. Vous pouvez bien sûr leur présenter d’autres exemples, p. ex. des exemples d’entreprises de votre canton.</w:t>
            </w:r>
          </w:p>
        </w:tc>
      </w:tr>
      <w:tr w:rsidR="00E4509F" w:rsidRPr="0083752A" w14:paraId="331CE3BD" w14:textId="77777777" w:rsidTr="00D86B1E">
        <w:tc>
          <w:tcPr>
            <w:tcW w:w="4536" w:type="dxa"/>
          </w:tcPr>
          <w:p w14:paraId="6C1326CC"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DC950EA" wp14:editId="0C742E55">
                  <wp:extent cx="2734944" cy="1538406"/>
                  <wp:effectExtent l="19050" t="19050" r="27940" b="2413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k 2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35C4553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L’activité «Plus écologique, plus durable, plus équitable. Votre modèle d’entreprise 2.0» vise à ce que les apprenant-e-s repensent leur modèle d’entreprise par rapport  à la dimension écologique et sociale. </w:t>
            </w:r>
          </w:p>
          <w:p w14:paraId="480641F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L’exercice est conçu sous forme de partenariat par équipes de deux, qui sont censées s’entraider pour développer leur modèle d’entreprise. Il vise également à encourager la coopération entre les équipes.</w:t>
            </w:r>
          </w:p>
        </w:tc>
      </w:tr>
      <w:tr w:rsidR="00E4509F" w:rsidRPr="0083752A" w14:paraId="4CC60848" w14:textId="77777777" w:rsidTr="00D86B1E">
        <w:tc>
          <w:tcPr>
            <w:tcW w:w="4536" w:type="dxa"/>
          </w:tcPr>
          <w:p w14:paraId="7659A90A"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A62F4A8" wp14:editId="4504A2CE">
                  <wp:extent cx="2728522" cy="1534794"/>
                  <wp:effectExtent l="19050" t="19050" r="15240" b="2794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fik 2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28522" cy="1534794"/>
                          </a:xfrm>
                          <a:prstGeom prst="rect">
                            <a:avLst/>
                          </a:prstGeom>
                          <a:noFill/>
                          <a:ln>
                            <a:solidFill>
                              <a:schemeClr val="tx1"/>
                            </a:solidFill>
                          </a:ln>
                        </pic:spPr>
                      </pic:pic>
                    </a:graphicData>
                  </a:graphic>
                </wp:inline>
              </w:drawing>
            </w:r>
          </w:p>
        </w:tc>
        <w:tc>
          <w:tcPr>
            <w:tcW w:w="4820" w:type="dxa"/>
          </w:tcPr>
          <w:p w14:paraId="68B6ED9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La check-list peut aider les apprenant-e-s à identifier les pistes de réflexion à améliorer. Toutes les questions sont formulées pour que l’on comprenne clairement qu’il s’agit de définir l’activité principale. Il </w:t>
            </w:r>
            <w:r>
              <w:rPr>
                <w:rFonts w:ascii="Century Gothic" w:hAnsi="Century Gothic"/>
                <w:sz w:val="16"/>
                <w:u w:val="single"/>
              </w:rPr>
              <w:t>ne</w:t>
            </w:r>
            <w:r>
              <w:rPr>
                <w:rFonts w:ascii="Century Gothic" w:hAnsi="Century Gothic"/>
                <w:sz w:val="16"/>
              </w:rPr>
              <w:t xml:space="preserve"> s’agit donc </w:t>
            </w:r>
            <w:r>
              <w:rPr>
                <w:rFonts w:ascii="Century Gothic" w:hAnsi="Century Gothic"/>
                <w:sz w:val="16"/>
                <w:u w:val="single"/>
              </w:rPr>
              <w:t>pas</w:t>
            </w:r>
            <w:r>
              <w:rPr>
                <w:rFonts w:ascii="Century Gothic" w:hAnsi="Century Gothic"/>
                <w:sz w:val="16"/>
              </w:rPr>
              <w:t xml:space="preserve"> de gagner de l’argent et de faire don ensuite d’une partie des bénéfices. Cette pensée philanthropique n’est pas forcément fausse. Cependant, les dimensions écologique, sociale et équitable de l’activité principale sont beaucoup plus importantes.</w:t>
            </w:r>
          </w:p>
        </w:tc>
      </w:tr>
      <w:tr w:rsidR="00E4509F" w:rsidRPr="0083752A" w14:paraId="60B904F6" w14:textId="77777777" w:rsidTr="00D86B1E">
        <w:tc>
          <w:tcPr>
            <w:tcW w:w="4536" w:type="dxa"/>
          </w:tcPr>
          <w:p w14:paraId="64389C1A"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4F636DA" wp14:editId="5AB9AFE6">
                  <wp:extent cx="2743196" cy="1543048"/>
                  <wp:effectExtent l="19050" t="19050" r="19685" b="1968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fik 2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43196" cy="1543048"/>
                          </a:xfrm>
                          <a:prstGeom prst="rect">
                            <a:avLst/>
                          </a:prstGeom>
                          <a:noFill/>
                          <a:ln>
                            <a:solidFill>
                              <a:schemeClr val="tx1"/>
                            </a:solidFill>
                          </a:ln>
                        </pic:spPr>
                      </pic:pic>
                    </a:graphicData>
                  </a:graphic>
                </wp:inline>
              </w:drawing>
            </w:r>
          </w:p>
        </w:tc>
        <w:tc>
          <w:tcPr>
            <w:tcW w:w="4820" w:type="dxa"/>
          </w:tcPr>
          <w:p w14:paraId="6AC98B8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L’approche de l’économie circulaire est un sujet qui revêt de plus en plus d’importance en Suisse.</w:t>
            </w:r>
          </w:p>
          <w:p w14:paraId="50F9A995"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L’idée sous-jacente est d’utiliser les matières premières de manière efficace et aussi longtemps que possible et, dans le meilleur des cas, de refermer le cycle des matériaux et des produits afin de réutiliser les matières premières à l’infini.</w:t>
            </w:r>
          </w:p>
          <w:p w14:paraId="14EB8B2E"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avantages de cette approche sont faciles à comprendre. Si nécessaire, ce sujet peut être approfondi.</w:t>
            </w:r>
          </w:p>
          <w:p w14:paraId="2B47133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En Suisse, parmi les acteurs qui s’occupent de cette thématique, il y a: l’Office fédéral de l’environnement </w:t>
            </w:r>
            <w:hyperlink r:id="rId34" w:history="1">
              <w:r>
                <w:rPr>
                  <w:rStyle w:val="Hyperlink"/>
                  <w:rFonts w:ascii="Century Gothic" w:hAnsi="Century Gothic"/>
                  <w:sz w:val="16"/>
                </w:rPr>
                <w:t>(OFEV)</w:t>
              </w:r>
            </w:hyperlink>
            <w:r>
              <w:rPr>
                <w:rFonts w:ascii="Century Gothic" w:hAnsi="Century Gothic"/>
                <w:sz w:val="16"/>
              </w:rPr>
              <w:t xml:space="preserve">, la plate-forme de coordination et d’échange </w:t>
            </w:r>
            <w:hyperlink r:id="rId35" w:history="1">
              <w:proofErr w:type="spellStart"/>
              <w:r>
                <w:rPr>
                  <w:rStyle w:val="Hyperlink"/>
                  <w:rFonts w:ascii="Century Gothic" w:hAnsi="Century Gothic"/>
                  <w:sz w:val="16"/>
                </w:rPr>
                <w:t>Circular</w:t>
              </w:r>
              <w:proofErr w:type="spellEnd"/>
              <w:r>
                <w:rPr>
                  <w:rStyle w:val="Hyperlink"/>
                  <w:rFonts w:ascii="Century Gothic" w:hAnsi="Century Gothic"/>
                  <w:sz w:val="16"/>
                </w:rPr>
                <w:t xml:space="preserve"> Economy Switzerland</w:t>
              </w:r>
            </w:hyperlink>
            <w:r>
              <w:rPr>
                <w:rFonts w:ascii="Century Gothic" w:hAnsi="Century Gothic"/>
                <w:sz w:val="16"/>
              </w:rPr>
              <w:t>,</w:t>
            </w:r>
            <w:r>
              <w:rPr>
                <w:rStyle w:val="acopre"/>
              </w:rPr>
              <w:t xml:space="preserve"> </w:t>
            </w:r>
            <w:r>
              <w:rPr>
                <w:rFonts w:ascii="Century Gothic" w:hAnsi="Century Gothic"/>
                <w:sz w:val="16"/>
              </w:rPr>
              <w:t xml:space="preserve">la plate-forme de connaissances et de réseaux </w:t>
            </w:r>
            <w:hyperlink r:id="rId36" w:history="1">
              <w:proofErr w:type="spellStart"/>
              <w:r>
                <w:rPr>
                  <w:rStyle w:val="Hyperlink"/>
                  <w:rFonts w:ascii="Century Gothic" w:hAnsi="Century Gothic"/>
                  <w:sz w:val="16"/>
                </w:rPr>
                <w:t>Circular</w:t>
              </w:r>
              <w:proofErr w:type="spellEnd"/>
              <w:r>
                <w:rPr>
                  <w:rStyle w:val="Hyperlink"/>
                  <w:rFonts w:ascii="Century Gothic" w:hAnsi="Century Gothic"/>
                  <w:sz w:val="16"/>
                </w:rPr>
                <w:t xml:space="preserve"> Hub</w:t>
              </w:r>
            </w:hyperlink>
            <w:r>
              <w:t xml:space="preserve"> </w:t>
            </w:r>
            <w:r>
              <w:rPr>
                <w:rFonts w:ascii="Century Gothic" w:hAnsi="Century Gothic"/>
                <w:sz w:val="16"/>
              </w:rPr>
              <w:t xml:space="preserve">ou encore l’organisation </w:t>
            </w:r>
            <w:hyperlink r:id="rId37" w:history="1">
              <w:proofErr w:type="spellStart"/>
              <w:r>
                <w:rPr>
                  <w:rStyle w:val="Hyperlink"/>
                  <w:rFonts w:ascii="Century Gothic" w:hAnsi="Century Gothic"/>
                  <w:sz w:val="16"/>
                </w:rPr>
                <w:t>Environmental</w:t>
              </w:r>
              <w:proofErr w:type="spellEnd"/>
              <w:r>
                <w:rPr>
                  <w:rStyle w:val="Hyperlink"/>
                  <w:rFonts w:ascii="Century Gothic" w:hAnsi="Century Gothic"/>
                  <w:sz w:val="16"/>
                </w:rPr>
                <w:t xml:space="preserve"> Protection Encouragement Agency</w:t>
              </w:r>
            </w:hyperlink>
            <w:r>
              <w:rPr>
                <w:rFonts w:ascii="Century Gothic" w:hAnsi="Century Gothic"/>
                <w:sz w:val="16"/>
              </w:rPr>
              <w:t xml:space="preserve"> </w:t>
            </w:r>
            <w:hyperlink r:id="rId38" w:history="1">
              <w:r>
                <w:rPr>
                  <w:rStyle w:val="Hyperlink"/>
                  <w:rFonts w:ascii="Century Gothic" w:hAnsi="Century Gothic"/>
                  <w:sz w:val="16"/>
                </w:rPr>
                <w:t>(EPEA)</w:t>
              </w:r>
            </w:hyperlink>
            <w:r>
              <w:rPr>
                <w:rFonts w:ascii="Century Gothic" w:hAnsi="Century Gothic"/>
                <w:sz w:val="16"/>
              </w:rPr>
              <w:t xml:space="preserve">, qui développe des produits et services </w:t>
            </w:r>
            <w:proofErr w:type="spellStart"/>
            <w:r>
              <w:rPr>
                <w:rFonts w:ascii="Century Gothic" w:hAnsi="Century Gothic"/>
                <w:sz w:val="16"/>
              </w:rPr>
              <w:t>Cradle</w:t>
            </w:r>
            <w:proofErr w:type="spellEnd"/>
            <w:r>
              <w:rPr>
                <w:rFonts w:ascii="Century Gothic" w:hAnsi="Century Gothic"/>
                <w:sz w:val="16"/>
              </w:rPr>
              <w:t> to </w:t>
            </w:r>
            <w:proofErr w:type="spellStart"/>
            <w:r>
              <w:rPr>
                <w:rFonts w:ascii="Century Gothic" w:hAnsi="Century Gothic"/>
                <w:sz w:val="16"/>
              </w:rPr>
              <w:t>Cradle</w:t>
            </w:r>
            <w:proofErr w:type="spellEnd"/>
            <w:r>
              <w:rPr>
                <w:rFonts w:ascii="Century Gothic" w:hAnsi="Century Gothic"/>
                <w:sz w:val="16"/>
              </w:rPr>
              <w:t> </w:t>
            </w:r>
            <w:proofErr w:type="spellStart"/>
            <w:r>
              <w:rPr>
                <w:rFonts w:ascii="Century Gothic" w:hAnsi="Century Gothic"/>
                <w:sz w:val="16"/>
              </w:rPr>
              <w:t>Certified</w:t>
            </w:r>
            <w:proofErr w:type="spellEnd"/>
            <w:r>
              <w:rPr>
                <w:rFonts w:ascii="Century Gothic" w:hAnsi="Century Gothic"/>
                <w:sz w:val="16"/>
              </w:rPr>
              <w:t xml:space="preserve">™ et agit en qualité d’évaluatrice pour la certification </w:t>
            </w:r>
            <w:proofErr w:type="spellStart"/>
            <w:r>
              <w:rPr>
                <w:rFonts w:ascii="Century Gothic" w:hAnsi="Century Gothic"/>
                <w:sz w:val="16"/>
              </w:rPr>
              <w:t>Cradle</w:t>
            </w:r>
            <w:proofErr w:type="spellEnd"/>
            <w:r>
              <w:rPr>
                <w:rFonts w:ascii="Century Gothic" w:hAnsi="Century Gothic"/>
                <w:sz w:val="16"/>
              </w:rPr>
              <w:t> to </w:t>
            </w:r>
            <w:proofErr w:type="spellStart"/>
            <w:r>
              <w:rPr>
                <w:rFonts w:ascii="Century Gothic" w:hAnsi="Century Gothic"/>
                <w:sz w:val="16"/>
              </w:rPr>
              <w:t>Cradle</w:t>
            </w:r>
            <w:proofErr w:type="spellEnd"/>
            <w:r>
              <w:rPr>
                <w:rFonts w:ascii="Century Gothic" w:hAnsi="Century Gothic"/>
                <w:sz w:val="16"/>
              </w:rPr>
              <w:t>.</w:t>
            </w:r>
          </w:p>
        </w:tc>
      </w:tr>
      <w:tr w:rsidR="00E4509F" w:rsidRPr="0083752A" w14:paraId="2E65F654" w14:textId="77777777" w:rsidTr="00D86B1E">
        <w:tc>
          <w:tcPr>
            <w:tcW w:w="4536" w:type="dxa"/>
          </w:tcPr>
          <w:p w14:paraId="3500455B"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4106497" wp14:editId="79911AF3">
                  <wp:extent cx="2742069" cy="1542414"/>
                  <wp:effectExtent l="19050" t="19050" r="20320" b="2032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667194CA"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Pour introduire le thème, le graphique présente les problèmes fondamentaux du modèle actuellement dominant de l’économie linéaire.</w:t>
            </w:r>
          </w:p>
        </w:tc>
      </w:tr>
      <w:tr w:rsidR="00E4509F" w:rsidRPr="0083752A" w14:paraId="75C54666" w14:textId="77777777" w:rsidTr="00D86B1E">
        <w:tc>
          <w:tcPr>
            <w:tcW w:w="4536" w:type="dxa"/>
          </w:tcPr>
          <w:p w14:paraId="18A7D267"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9D210CE" wp14:editId="48CEE4F3">
                  <wp:extent cx="2734944" cy="1538406"/>
                  <wp:effectExtent l="19050" t="19050" r="27940" b="2413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fik 2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793F83BE"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L’économie circulaire vise précisément à rompre avec cette forme d’économie. A cet effet, les modèles d’entreprise peuvent être développés selon les niveaux illustrés dans le graphique.</w:t>
            </w:r>
          </w:p>
          <w:p w14:paraId="14AE176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exemples donnés proviennent principalement (mais pas seulement) de Suisse.</w:t>
            </w:r>
          </w:p>
        </w:tc>
      </w:tr>
      <w:tr w:rsidR="00E4509F" w:rsidRPr="0083752A" w14:paraId="1ED9B76B" w14:textId="77777777" w:rsidTr="00D86B1E">
        <w:tc>
          <w:tcPr>
            <w:tcW w:w="4536" w:type="dxa"/>
          </w:tcPr>
          <w:p w14:paraId="2C2AB1CA"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1E95419" wp14:editId="6383B18B">
                  <wp:extent cx="2722878" cy="1531618"/>
                  <wp:effectExtent l="19050" t="19050" r="20955" b="1206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22878" cy="1531618"/>
                          </a:xfrm>
                          <a:prstGeom prst="rect">
                            <a:avLst/>
                          </a:prstGeom>
                          <a:noFill/>
                          <a:ln>
                            <a:solidFill>
                              <a:schemeClr val="tx1"/>
                            </a:solidFill>
                          </a:ln>
                        </pic:spPr>
                      </pic:pic>
                    </a:graphicData>
                  </a:graphic>
                </wp:inline>
              </w:drawing>
            </w:r>
          </w:p>
        </w:tc>
        <w:tc>
          <w:tcPr>
            <w:tcW w:w="4820" w:type="dxa"/>
          </w:tcPr>
          <w:p w14:paraId="7CF35A3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À ce stade, vous pouvez de nouveau renvoyer les apprenant-e-s au modèle d’entreprise de </w:t>
            </w:r>
            <w:proofErr w:type="spellStart"/>
            <w:r>
              <w:rPr>
                <w:rFonts w:ascii="Century Gothic" w:hAnsi="Century Gothic"/>
                <w:sz w:val="16"/>
              </w:rPr>
              <w:t>MyBambooBike</w:t>
            </w:r>
            <w:proofErr w:type="spellEnd"/>
            <w:r>
              <w:rPr>
                <w:rFonts w:ascii="Century Gothic" w:hAnsi="Century Gothic"/>
                <w:sz w:val="16"/>
              </w:rPr>
              <w:t>.</w:t>
            </w:r>
          </w:p>
        </w:tc>
      </w:tr>
      <w:tr w:rsidR="00E4509F" w:rsidRPr="0083752A" w14:paraId="34FD8375" w14:textId="77777777" w:rsidTr="00D86B1E">
        <w:tc>
          <w:tcPr>
            <w:tcW w:w="4536" w:type="dxa"/>
          </w:tcPr>
          <w:p w14:paraId="215E5505"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78829B1" wp14:editId="427928E1">
                  <wp:extent cx="2737484" cy="1539834"/>
                  <wp:effectExtent l="19050" t="19050" r="25400" b="2286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AF06FCB"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En décrivant le modèle d’entreprise de </w:t>
            </w:r>
            <w:proofErr w:type="spellStart"/>
            <w:r>
              <w:rPr>
                <w:rFonts w:ascii="Century Gothic" w:hAnsi="Century Gothic"/>
                <w:sz w:val="16"/>
              </w:rPr>
              <w:t>MyBambooBike</w:t>
            </w:r>
            <w:proofErr w:type="spellEnd"/>
            <w:r>
              <w:rPr>
                <w:rFonts w:ascii="Century Gothic" w:hAnsi="Century Gothic"/>
                <w:sz w:val="16"/>
              </w:rPr>
              <w:t>, nous avons délibérément décidé de ne proposer que quelques modèles – seulement trois – lors de la création de l’entreprise. Une personnalisation complète, c’est-à-dire la possibilité pour les client-e-s de configurer eux/elles-mêmes leur vélo, serait évidemment une plus-value, mais augmenterait fortement la complexité et donc les coûts, et serait difficile à mettre en œuvre en particulier dans la phase initiale.</w:t>
            </w:r>
          </w:p>
        </w:tc>
      </w:tr>
      <w:tr w:rsidR="00E4509F" w:rsidRPr="0083752A" w14:paraId="21C7F605" w14:textId="77777777" w:rsidTr="00D86B1E">
        <w:tc>
          <w:tcPr>
            <w:tcW w:w="4536" w:type="dxa"/>
          </w:tcPr>
          <w:p w14:paraId="7CA8E8A1"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9D17FD" wp14:editId="64C65B2D">
                  <wp:extent cx="2731132" cy="1536262"/>
                  <wp:effectExtent l="19050" t="19050" r="12700" b="260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1132" cy="1536262"/>
                          </a:xfrm>
                          <a:prstGeom prst="rect">
                            <a:avLst/>
                          </a:prstGeom>
                          <a:noFill/>
                          <a:ln>
                            <a:solidFill>
                              <a:schemeClr val="tx1"/>
                            </a:solidFill>
                          </a:ln>
                        </pic:spPr>
                      </pic:pic>
                    </a:graphicData>
                  </a:graphic>
                </wp:inline>
              </w:drawing>
            </w:r>
          </w:p>
        </w:tc>
        <w:tc>
          <w:tcPr>
            <w:tcW w:w="4820" w:type="dxa"/>
          </w:tcPr>
          <w:p w14:paraId="76F1737A" w14:textId="77777777" w:rsidR="00E4509F" w:rsidRPr="00E722F7"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27E80D6D" w14:textId="77777777" w:rsidR="00E4509F" w:rsidRPr="003306DF" w:rsidRDefault="00E4509F" w:rsidP="00D86B1E">
            <w:pPr>
              <w:pStyle w:val="Listenabsatz"/>
              <w:numPr>
                <w:ilvl w:val="0"/>
                <w:numId w:val="26"/>
              </w:numPr>
              <w:spacing w:before="120" w:after="40"/>
              <w:ind w:left="378"/>
              <w:rPr>
                <w:rFonts w:eastAsia="Arial Unicode MS"/>
                <w:sz w:val="20"/>
                <w:szCs w:val="20"/>
              </w:rPr>
            </w:pPr>
            <w:r>
              <w:rPr>
                <w:rFonts w:ascii="Century Gothic" w:hAnsi="Century Gothic"/>
                <w:sz w:val="16"/>
              </w:rPr>
              <w:t xml:space="preserve">Les apprenant-e-s sont en mesure de développer et de décrire un modèle d’entreprise et tous les éléments principaux qui le composent. </w:t>
            </w:r>
          </w:p>
          <w:p w14:paraId="0C57DD0D" w14:textId="77777777" w:rsidR="00E4509F" w:rsidRPr="0082075C" w:rsidRDefault="00E4509F" w:rsidP="00D86B1E">
            <w:pPr>
              <w:pStyle w:val="Listenabsatz"/>
              <w:numPr>
                <w:ilvl w:val="0"/>
                <w:numId w:val="26"/>
              </w:numPr>
              <w:spacing w:before="120" w:after="40"/>
              <w:ind w:left="378"/>
              <w:rPr>
                <w:rFonts w:eastAsia="Arial Unicode MS"/>
                <w:sz w:val="20"/>
                <w:szCs w:val="20"/>
              </w:rPr>
            </w:pPr>
            <w:r>
              <w:rPr>
                <w:rFonts w:ascii="Century Gothic" w:hAnsi="Century Gothic"/>
                <w:sz w:val="16"/>
              </w:rPr>
              <w:t>Les apprenant-e-s peuvent expliquer les interactions entre ses différents éléments.</w:t>
            </w:r>
          </w:p>
        </w:tc>
      </w:tr>
      <w:tr w:rsidR="00E4509F" w:rsidRPr="0083752A" w14:paraId="691E420C" w14:textId="77777777" w:rsidTr="00D86B1E">
        <w:tc>
          <w:tcPr>
            <w:tcW w:w="4536" w:type="dxa"/>
          </w:tcPr>
          <w:p w14:paraId="0F35DD6F"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F31D9AB" wp14:editId="0B631F0F">
                  <wp:extent cx="2737484" cy="1539834"/>
                  <wp:effectExtent l="19050" t="19050" r="25400" b="228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07CA6F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doivent formuler leur modèle d’entreprise à un stade précoce. Ce dernier peut toujours être adapté au gré de nouvelles inspirations et de nouvelles découvertes. Il est primordial que le business plan soit considéré comme un document qui doit être sans cesse remanié. Il ne s’agit donc pas de remplir tous les chapitres le plus rapidement possible.</w:t>
            </w:r>
          </w:p>
        </w:tc>
      </w:tr>
      <w:tr w:rsidR="00E4509F" w:rsidRPr="0083752A" w14:paraId="5D5BEB19" w14:textId="77777777" w:rsidTr="00D86B1E">
        <w:tc>
          <w:tcPr>
            <w:tcW w:w="4536" w:type="dxa"/>
          </w:tcPr>
          <w:p w14:paraId="48D8AAEA"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57EEB3B" wp14:editId="508C0427">
                  <wp:extent cx="2734167" cy="1537968"/>
                  <wp:effectExtent l="19050" t="19050" r="9525" b="2476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3B21A3B5" w14:textId="77777777" w:rsidR="00E4509F"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4922249"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Pr>
                <w:rFonts w:ascii="Century Gothic" w:hAnsi="Century Gothic"/>
                <w:sz w:val="16"/>
              </w:rPr>
              <w:t>Les apprenant-e-s sont en mesure de décrire les fonctions, la signification et les champs d’application d’un business plan.</w:t>
            </w:r>
          </w:p>
          <w:p w14:paraId="453A0198"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Pr>
                <w:rFonts w:ascii="Century Gothic" w:hAnsi="Century Gothic"/>
                <w:sz w:val="16"/>
              </w:rPr>
              <w:t>Les apprenant-e-s sont en mesure de décrire les fonctions, la signification et les champs d’application d’un pitch deck.</w:t>
            </w:r>
          </w:p>
        </w:tc>
      </w:tr>
      <w:tr w:rsidR="00E4509F" w:rsidRPr="0083752A" w14:paraId="5F66A697" w14:textId="77777777" w:rsidTr="00D86B1E">
        <w:tc>
          <w:tcPr>
            <w:tcW w:w="4536" w:type="dxa"/>
          </w:tcPr>
          <w:p w14:paraId="2A5717D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339010B" wp14:editId="561E3A76">
                  <wp:extent cx="2734167" cy="1537969"/>
                  <wp:effectExtent l="19050" t="19050" r="9525" b="2476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8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6A3A7350" w14:textId="77777777" w:rsidR="00E4509F" w:rsidRDefault="00E4509F" w:rsidP="00D86B1E">
            <w:pPr>
              <w:spacing w:before="120" w:after="40"/>
              <w:rPr>
                <w:rFonts w:ascii="Century Gothic" w:eastAsia="Arial Unicode MS" w:hAnsi="Century Gothic"/>
                <w:sz w:val="16"/>
                <w:szCs w:val="16"/>
              </w:rPr>
            </w:pPr>
          </w:p>
        </w:tc>
      </w:tr>
      <w:tr w:rsidR="00E4509F" w:rsidRPr="0083752A" w14:paraId="25E4CDBB" w14:textId="77777777" w:rsidTr="00D86B1E">
        <w:tc>
          <w:tcPr>
            <w:tcW w:w="4536" w:type="dxa"/>
          </w:tcPr>
          <w:p w14:paraId="0011E99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07C89EE" wp14:editId="73725684">
                  <wp:extent cx="2737484" cy="1539834"/>
                  <wp:effectExtent l="19050" t="19050" r="25400" b="2286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A3B0D9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L’importance des business plans pour le succès ultérieur des entreprises est contestée dans la recherche, et diminue aussi dans la pratique. Les start-up innovantes, notamment, préfèrent rédiger un pitch deck adapté à chaque situation de communication.</w:t>
            </w:r>
          </w:p>
          <w:p w14:paraId="568420A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Pour des raisons pédagogiques et didactiques cependant, nous considérons que l’élaboration d’un business plan est une étape importante pour les apprenant-e-s. Elle les contraint à anticiper les différents aspects d’une idée entrepreneuriale. De plus, le business plan est également utilisé comme un outil de réflexion et peut servir de base pour attribuer une note (ou une note partielle) aux apprenant-e-s.</w:t>
            </w:r>
          </w:p>
        </w:tc>
      </w:tr>
      <w:tr w:rsidR="00E4509F" w:rsidRPr="0083752A" w14:paraId="0E73CE98" w14:textId="77777777" w:rsidTr="00D86B1E">
        <w:tc>
          <w:tcPr>
            <w:tcW w:w="4536" w:type="dxa"/>
          </w:tcPr>
          <w:p w14:paraId="55B5417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38B8236" wp14:editId="07E1C018">
                  <wp:extent cx="2737484" cy="1539834"/>
                  <wp:effectExtent l="19050" t="19050" r="25400" b="2286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59D7DD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doivent travailler sur le document «Mini-business plan et journal d’apprentissage» tout au long du programme. Tous les membres d’une équipe doivent en outre avoir accès au document en parallèle.</w:t>
            </w:r>
          </w:p>
          <w:p w14:paraId="25F0CA57" w14:textId="77777777" w:rsidR="00E4509F" w:rsidRPr="00DC483C" w:rsidRDefault="00E4509F" w:rsidP="00D86B1E">
            <w:pPr>
              <w:spacing w:before="120" w:after="40"/>
              <w:rPr>
                <w:rFonts w:ascii="Century Gothic" w:eastAsia="Arial Unicode MS" w:hAnsi="Century Gothic"/>
                <w:sz w:val="16"/>
                <w:szCs w:val="16"/>
              </w:rPr>
            </w:pPr>
            <w:r>
              <w:rPr>
                <w:rFonts w:ascii="Century Gothic" w:hAnsi="Century Gothic"/>
                <w:sz w:val="16"/>
              </w:rPr>
              <w:t>Il peut p. ex. être créé sous forme de Google Doc et être traité  en parallèle.</w:t>
            </w:r>
          </w:p>
          <w:p w14:paraId="218F3869" w14:textId="77777777" w:rsidR="00E4509F" w:rsidRDefault="00E4509F" w:rsidP="00D86B1E">
            <w:pPr>
              <w:spacing w:before="120" w:after="40"/>
              <w:rPr>
                <w:rFonts w:ascii="Century Gothic" w:eastAsia="Arial Unicode MS" w:hAnsi="Century Gothic"/>
                <w:sz w:val="16"/>
                <w:szCs w:val="16"/>
              </w:rPr>
            </w:pPr>
          </w:p>
        </w:tc>
      </w:tr>
      <w:tr w:rsidR="00E4509F" w:rsidRPr="0083752A" w14:paraId="412A7C90" w14:textId="77777777" w:rsidTr="00D86B1E">
        <w:tc>
          <w:tcPr>
            <w:tcW w:w="4536" w:type="dxa"/>
          </w:tcPr>
          <w:p w14:paraId="0BC94469"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59AFB4E" wp14:editId="74874002">
                  <wp:extent cx="2743198" cy="1543048"/>
                  <wp:effectExtent l="19050" t="19050" r="19685" b="1968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4352238C" w14:textId="77777777" w:rsidR="00E4509F" w:rsidRDefault="00E4509F" w:rsidP="00D86B1E">
            <w:pPr>
              <w:spacing w:before="120" w:after="40"/>
              <w:rPr>
                <w:rFonts w:ascii="Century Gothic" w:eastAsia="Arial Unicode MS" w:hAnsi="Century Gothic"/>
                <w:sz w:val="16"/>
                <w:szCs w:val="16"/>
              </w:rPr>
            </w:pPr>
          </w:p>
        </w:tc>
      </w:tr>
      <w:tr w:rsidR="00E4509F" w:rsidRPr="0083752A" w14:paraId="47778523" w14:textId="77777777" w:rsidTr="00D86B1E">
        <w:tc>
          <w:tcPr>
            <w:tcW w:w="4536" w:type="dxa"/>
          </w:tcPr>
          <w:p w14:paraId="15F97DD3" w14:textId="77777777" w:rsidR="00E4509F" w:rsidRPr="00D934BC"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39B7DBBA" wp14:editId="12C04AC4">
                  <wp:extent cx="2737484" cy="1539834"/>
                  <wp:effectExtent l="19050" t="19050" r="25400" b="2286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F5CD58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Ces dernières années, le pitch deck est devenu un outil de communication important pour les start-up. Vous trouverez sur Internet quelques exemples connus de pitch decks originaux.</w:t>
            </w:r>
          </w:p>
        </w:tc>
      </w:tr>
      <w:tr w:rsidR="00E4509F" w:rsidRPr="0083752A" w14:paraId="341B7D87" w14:textId="77777777" w:rsidTr="00D86B1E">
        <w:tc>
          <w:tcPr>
            <w:tcW w:w="4536" w:type="dxa"/>
          </w:tcPr>
          <w:p w14:paraId="4F3B704C"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4205B94" wp14:editId="53C8870F">
                  <wp:extent cx="2722878" cy="1531619"/>
                  <wp:effectExtent l="19050" t="19050" r="20955" b="1206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64FF29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En règle générale, les apprenant-e-s aiment bien travailler sur les pitch decks. Cependant, il ne faut surtout pas oublier qu’en peaufinant le pitch deck, les apprenant-e-s doivent «sortir du cadre du cours» avec leur idée et la vérifier à l’aide de tests ou au moins en discutant avec des personnes concernées. La création du pitch deck ne doit pas devenir une fin en soi.</w:t>
            </w:r>
          </w:p>
        </w:tc>
      </w:tr>
      <w:tr w:rsidR="00E4509F" w:rsidRPr="0083752A" w14:paraId="19587B0C" w14:textId="77777777" w:rsidTr="00D86B1E">
        <w:tc>
          <w:tcPr>
            <w:tcW w:w="4536" w:type="dxa"/>
          </w:tcPr>
          <w:p w14:paraId="1DAB6DA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1893285" wp14:editId="3DDF3498">
                  <wp:extent cx="2731134" cy="1536262"/>
                  <wp:effectExtent l="19050" t="19050" r="12700" b="2603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549954D6"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peuvent utiliser la présente liste de questions importantes pour élaborer leur pitch deck.</w:t>
            </w:r>
          </w:p>
        </w:tc>
      </w:tr>
      <w:tr w:rsidR="00E4509F" w:rsidRPr="0083752A" w14:paraId="587EC0AF" w14:textId="77777777" w:rsidTr="00D86B1E">
        <w:tc>
          <w:tcPr>
            <w:tcW w:w="4536" w:type="dxa"/>
          </w:tcPr>
          <w:p w14:paraId="72754503"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E1D336C" wp14:editId="695C8FB3">
                  <wp:extent cx="2734167" cy="1537969"/>
                  <wp:effectExtent l="19050" t="19050" r="9525" b="2476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9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7E5732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pitch deck original d’Airbnb se trouve sur Internet. Nous avons traduit la version anglaise pour les besoins du programme myidea.ch.</w:t>
            </w:r>
          </w:p>
        </w:tc>
      </w:tr>
      <w:tr w:rsidR="00E4509F" w:rsidRPr="00984925" w14:paraId="41D9D7C0" w14:textId="77777777" w:rsidTr="00D86B1E">
        <w:tc>
          <w:tcPr>
            <w:tcW w:w="4536" w:type="dxa"/>
          </w:tcPr>
          <w:p w14:paraId="11B2D18B" w14:textId="77777777" w:rsidR="00E4509F" w:rsidRPr="00EC4D47" w:rsidRDefault="00E4509F" w:rsidP="00D86B1E">
            <w:pPr>
              <w:spacing w:before="120" w:after="40"/>
              <w:rPr>
                <w:rFonts w:ascii="Century Gothic" w:eastAsia="Arial Unicode MS" w:hAnsi="Century Gothic"/>
                <w:sz w:val="16"/>
                <w:szCs w:val="16"/>
              </w:rPr>
            </w:pPr>
            <w:r>
              <w:rPr>
                <w:rFonts w:ascii="Century Gothic" w:hAnsi="Century Gothic"/>
                <w:noProof/>
                <w:sz w:val="16"/>
                <w:lang w:eastAsia="fr-CH"/>
              </w:rPr>
              <w:drawing>
                <wp:inline distT="0" distB="0" distL="0" distR="0" wp14:anchorId="24271ED8" wp14:editId="25EBB6B8">
                  <wp:extent cx="2734167" cy="1537969"/>
                  <wp:effectExtent l="19050" t="19050" r="9525" b="2476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41D7E6A" w14:textId="77777777" w:rsidR="00E4509F" w:rsidRPr="00EC4D47"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4A8775D5" w14:textId="77777777" w:rsidR="00E4509F" w:rsidRPr="00EC4D47"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Pr>
                <w:rFonts w:ascii="Century Gothic" w:hAnsi="Century Gothic"/>
                <w:sz w:val="16"/>
              </w:rPr>
              <w:t>Les apprenant-e-s sont en mesure d’expliquer l’importance et la nécessité des caractéristiques distinctives pour une entreprise.</w:t>
            </w:r>
          </w:p>
          <w:p w14:paraId="49C0579A" w14:textId="77777777" w:rsidR="00E4509F"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Pr>
                <w:rFonts w:ascii="Century Gothic" w:hAnsi="Century Gothic"/>
                <w:sz w:val="16"/>
              </w:rPr>
              <w:t>Les apprenant-e-s sont capables de définir une caractéristique distinctive pour leur entreprise et de la présenter.</w:t>
            </w:r>
          </w:p>
          <w:p w14:paraId="72ED8602" w14:textId="77777777" w:rsidR="00E4509F" w:rsidRDefault="00E4509F" w:rsidP="00D86B1E">
            <w:pPr>
              <w:pStyle w:val="Listenabsatz"/>
              <w:spacing w:before="120" w:after="40" w:line="240" w:lineRule="auto"/>
              <w:ind w:left="212"/>
              <w:rPr>
                <w:rFonts w:ascii="Century Gothic" w:eastAsia="Arial Unicode MS" w:hAnsi="Century Gothic"/>
                <w:sz w:val="16"/>
                <w:szCs w:val="16"/>
              </w:rPr>
            </w:pPr>
          </w:p>
          <w:p w14:paraId="1D3AFD7B"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bookmarkStart w:id="1" w:name="_Hlk66097692"/>
            <w:r>
              <w:rPr>
                <w:rFonts w:ascii="Century Gothic" w:hAnsi="Century Gothic"/>
                <w:sz w:val="16"/>
              </w:rPr>
              <w:t>Il est parfois difficile de trouver une caractéristique distinctive si les apprenant-e-s travaillent sur une idée qui existe telle quelle ou sous une forme similaire. Cependant, la vidéo suivante sur un marchand de kebab montre qu’il est toujours possible de faire les choses autrement ou mieux, même avec une offre de produits largement répandue:</w:t>
            </w:r>
          </w:p>
          <w:p w14:paraId="7B1B09CF"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p>
          <w:p w14:paraId="575437E5" w14:textId="77777777" w:rsidR="00E4509F" w:rsidRPr="00E13702" w:rsidRDefault="00E4509F" w:rsidP="00D86B1E">
            <w:pPr>
              <w:pStyle w:val="Listenabsatz"/>
              <w:spacing w:before="120" w:after="40" w:line="240" w:lineRule="auto"/>
              <w:ind w:left="212"/>
              <w:rPr>
                <w:rFonts w:ascii="Century Gothic" w:eastAsia="Arial Unicode MS" w:hAnsi="Century Gothic"/>
                <w:b/>
                <w:sz w:val="16"/>
                <w:szCs w:val="16"/>
              </w:rPr>
            </w:pPr>
            <w:r>
              <w:rPr>
                <w:rFonts w:ascii="Century Gothic" w:hAnsi="Century Gothic"/>
                <w:b/>
                <w:sz w:val="16"/>
              </w:rPr>
              <w:lastRenderedPageBreak/>
              <w:t>Le kebab végétarien de Mustafa est-il le plus savoureux d’Allemagne?</w:t>
            </w:r>
          </w:p>
          <w:p w14:paraId="54F12308" w14:textId="77777777" w:rsidR="00E4509F" w:rsidRPr="003A24A2" w:rsidRDefault="00984925" w:rsidP="00D86B1E">
            <w:pPr>
              <w:pStyle w:val="Listenabsatz"/>
              <w:spacing w:before="120" w:after="40" w:line="240" w:lineRule="auto"/>
              <w:ind w:left="212"/>
              <w:rPr>
                <w:rFonts w:ascii="Century Gothic" w:eastAsia="Arial Unicode MS" w:hAnsi="Century Gothic"/>
                <w:color w:val="FF0000"/>
                <w:sz w:val="16"/>
                <w:szCs w:val="16"/>
                <w:lang w:val="en-GB"/>
              </w:rPr>
            </w:pPr>
            <w:r>
              <w:fldChar w:fldCharType="begin"/>
            </w:r>
            <w:r w:rsidRPr="00984925">
              <w:rPr>
                <w:lang w:val="en-GB"/>
              </w:rPr>
              <w:instrText xml:space="preserve"> HYPERLINK "https://www.youtube.com/watch?v=BHgj1B7OWdU" </w:instrText>
            </w:r>
            <w:r>
              <w:fldChar w:fldCharType="separate"/>
            </w:r>
            <w:r w:rsidR="00811BA9" w:rsidRPr="003A24A2">
              <w:rPr>
                <w:rStyle w:val="Hyperlink"/>
                <w:rFonts w:ascii="Century Gothic" w:hAnsi="Century Gothic"/>
                <w:sz w:val="16"/>
                <w:lang w:val="en-GB"/>
              </w:rPr>
              <w:t>youtube.com/</w:t>
            </w:r>
            <w:proofErr w:type="spellStart"/>
            <w:r w:rsidR="00811BA9" w:rsidRPr="003A24A2">
              <w:rPr>
                <w:rStyle w:val="Hyperlink"/>
                <w:rFonts w:ascii="Century Gothic" w:hAnsi="Century Gothic"/>
                <w:sz w:val="16"/>
                <w:lang w:val="en-GB"/>
              </w:rPr>
              <w:t>watch?v</w:t>
            </w:r>
            <w:proofErr w:type="spellEnd"/>
            <w:r w:rsidR="00811BA9" w:rsidRPr="003A24A2">
              <w:rPr>
                <w:rStyle w:val="Hyperlink"/>
                <w:rFonts w:ascii="Century Gothic" w:hAnsi="Century Gothic"/>
                <w:sz w:val="16"/>
                <w:lang w:val="en-GB"/>
              </w:rPr>
              <w:t>=BHgj1B7OWdU</w:t>
            </w:r>
            <w:r>
              <w:rPr>
                <w:rStyle w:val="Hyperlink"/>
                <w:rFonts w:ascii="Century Gothic" w:hAnsi="Century Gothic"/>
                <w:sz w:val="16"/>
                <w:lang w:val="en-GB"/>
              </w:rPr>
              <w:fldChar w:fldCharType="end"/>
            </w:r>
            <w:bookmarkEnd w:id="1"/>
          </w:p>
        </w:tc>
      </w:tr>
      <w:tr w:rsidR="00E4509F" w:rsidRPr="0083752A" w14:paraId="4D3038FF" w14:textId="77777777" w:rsidTr="00D86B1E">
        <w:tc>
          <w:tcPr>
            <w:tcW w:w="4536" w:type="dxa"/>
          </w:tcPr>
          <w:p w14:paraId="5D36C587" w14:textId="77777777" w:rsidR="00E4509F" w:rsidRPr="000C7020" w:rsidRDefault="00E4509F" w:rsidP="00D86B1E">
            <w:pPr>
              <w:spacing w:before="200" w:after="200"/>
              <w:ind w:left="34"/>
              <w:jc w:val="center"/>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540398C8" wp14:editId="1B6C2F43">
                  <wp:extent cx="2737484" cy="1539834"/>
                  <wp:effectExtent l="19050" t="19050" r="25400" b="2286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944B1A6"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doivent réfléchir par eux/elles-mêmes aux caractéristiques distinctives à l’aide de produits et de marques connus.</w:t>
            </w:r>
          </w:p>
          <w:p w14:paraId="7B5FEC7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L’exercice suivant est réalisé à cette fin: les apprenant-e-s doivent noter ce qu’ils associent aux marques Apple, Migros, </w:t>
            </w:r>
            <w:proofErr w:type="spellStart"/>
            <w:r>
              <w:rPr>
                <w:rFonts w:ascii="Century Gothic" w:hAnsi="Century Gothic"/>
                <w:sz w:val="16"/>
              </w:rPr>
              <w:t>Denner</w:t>
            </w:r>
            <w:proofErr w:type="spellEnd"/>
            <w:r>
              <w:rPr>
                <w:rFonts w:ascii="Century Gothic" w:hAnsi="Century Gothic"/>
                <w:sz w:val="16"/>
              </w:rPr>
              <w:t>, IKEA, etc.</w:t>
            </w:r>
          </w:p>
          <w:p w14:paraId="29FF962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Si besoin, l’exercice peut d’abord être réalisé en plénum pour la marque Apple, avant que </w:t>
            </w:r>
            <w:proofErr w:type="spellStart"/>
            <w:r>
              <w:rPr>
                <w:rFonts w:ascii="Century Gothic" w:hAnsi="Century Gothic"/>
                <w:sz w:val="16"/>
              </w:rPr>
              <w:t>chacun-e</w:t>
            </w:r>
            <w:proofErr w:type="spellEnd"/>
            <w:r>
              <w:rPr>
                <w:rFonts w:ascii="Century Gothic" w:hAnsi="Century Gothic"/>
                <w:sz w:val="16"/>
              </w:rPr>
              <w:t xml:space="preserve"> prenne ses propres notes.</w:t>
            </w:r>
          </w:p>
        </w:tc>
      </w:tr>
      <w:tr w:rsidR="00E4509F" w:rsidRPr="0083752A" w14:paraId="109B5B54" w14:textId="77777777" w:rsidTr="00D86B1E">
        <w:tc>
          <w:tcPr>
            <w:tcW w:w="9356" w:type="dxa"/>
            <w:gridSpan w:val="2"/>
          </w:tcPr>
          <w:p w14:paraId="4E077EE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Pour les diapositives suivantes (Migros, </w:t>
            </w:r>
            <w:proofErr w:type="spellStart"/>
            <w:r>
              <w:rPr>
                <w:rFonts w:ascii="Century Gothic" w:hAnsi="Century Gothic"/>
                <w:sz w:val="16"/>
              </w:rPr>
              <w:t>Denner</w:t>
            </w:r>
            <w:proofErr w:type="spellEnd"/>
            <w:r>
              <w:rPr>
                <w:rFonts w:ascii="Century Gothic" w:hAnsi="Century Gothic"/>
                <w:sz w:val="16"/>
              </w:rPr>
              <w:t xml:space="preserve">, IKEA etc.) les apprenant-e-s doivent aussi noter pour eux/elles-mêmes les caractéristiques distinctives qu’ils/elles associent à chaque produit. </w:t>
            </w:r>
          </w:p>
        </w:tc>
      </w:tr>
      <w:tr w:rsidR="00E4509F" w:rsidRPr="0083752A" w14:paraId="174D6AFB" w14:textId="77777777" w:rsidTr="00D86B1E">
        <w:tc>
          <w:tcPr>
            <w:tcW w:w="4536" w:type="dxa"/>
          </w:tcPr>
          <w:p w14:paraId="330B53F9"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B2528DC" wp14:editId="4EAFBF17">
                  <wp:extent cx="2734167" cy="1537969"/>
                  <wp:effectExtent l="19050" t="19050" r="9525" b="2476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54A1429C" w14:textId="77777777" w:rsidR="00E4509F" w:rsidRPr="00E3418E"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découvrent sur cette diapositive les aspects associés à chaque produit. Il est probable que la majorité des apprenant-e-s aient choisi des termes similaires.</w:t>
            </w:r>
          </w:p>
          <w:p w14:paraId="49853BA1" w14:textId="77777777" w:rsidR="00E4509F" w:rsidRPr="00E3418E" w:rsidRDefault="00E4509F" w:rsidP="00D86B1E">
            <w:pPr>
              <w:spacing w:before="120" w:after="40"/>
              <w:rPr>
                <w:rFonts w:eastAsia="Arial Unicode MS"/>
                <w:sz w:val="22"/>
                <w:szCs w:val="22"/>
              </w:rPr>
            </w:pPr>
            <w:r>
              <w:rPr>
                <w:rFonts w:ascii="Century Gothic" w:hAnsi="Century Gothic"/>
                <w:sz w:val="16"/>
              </w:rPr>
              <w:t>Les apprenant-e-s doivent comprendre qu’il est important, en tant qu’entrepreneurs/-ses, de veiller à ce que leur entreprise ou leur marque représente quelque chose d’unique en son genre.</w:t>
            </w:r>
          </w:p>
        </w:tc>
      </w:tr>
      <w:tr w:rsidR="00E4509F" w:rsidRPr="0083752A" w14:paraId="123A9A8C" w14:textId="77777777" w:rsidTr="00D86B1E">
        <w:tc>
          <w:tcPr>
            <w:tcW w:w="4536" w:type="dxa"/>
          </w:tcPr>
          <w:p w14:paraId="100DCA5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14C7FB3" wp14:editId="666FCA01">
                  <wp:extent cx="2734167" cy="1537969"/>
                  <wp:effectExtent l="19050" t="19050" r="9525" b="2476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C185D6B"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aspects les plus importants sont de nouveau résumés ici:</w:t>
            </w:r>
          </w:p>
          <w:p w14:paraId="4DC4CEB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Étant donné que le terme «Unique </w:t>
            </w:r>
            <w:proofErr w:type="spellStart"/>
            <w:r>
              <w:rPr>
                <w:rFonts w:ascii="Century Gothic" w:hAnsi="Century Gothic"/>
                <w:sz w:val="16"/>
              </w:rPr>
              <w:t>Selling</w:t>
            </w:r>
            <w:proofErr w:type="spellEnd"/>
            <w:r>
              <w:rPr>
                <w:rFonts w:ascii="Century Gothic" w:hAnsi="Century Gothic"/>
                <w:sz w:val="16"/>
              </w:rPr>
              <w:t xml:space="preserve"> Proposition» et son abréviation «USP» sont largement répandus dans le secteur économique, les apprenant-e-s doivent l’intégrer comme un synonyme de «caractéristique distinctive».</w:t>
            </w:r>
          </w:p>
        </w:tc>
      </w:tr>
      <w:tr w:rsidR="00E4509F" w:rsidRPr="0083752A" w14:paraId="3EBC3A16" w14:textId="77777777" w:rsidTr="00D86B1E">
        <w:tc>
          <w:tcPr>
            <w:tcW w:w="4536" w:type="dxa"/>
          </w:tcPr>
          <w:p w14:paraId="6D47A773"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96E664A" wp14:editId="4A23FB5D">
                  <wp:extent cx="2722878" cy="1531619"/>
                  <wp:effectExtent l="19050" t="19050" r="20955" b="1206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0EFE8A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Une caractéristique distinctive peut reposer sur différents aspects. Ce sont ici quelques exemples. Si nécessaire, les apprenant-e-s peuvent réfléchir à d’autres sources de caractéristiques distinctives.</w:t>
            </w:r>
          </w:p>
        </w:tc>
      </w:tr>
      <w:tr w:rsidR="00E4509F" w:rsidRPr="0083752A" w14:paraId="156606E4" w14:textId="77777777" w:rsidTr="00D86B1E">
        <w:tc>
          <w:tcPr>
            <w:tcW w:w="4536" w:type="dxa"/>
          </w:tcPr>
          <w:p w14:paraId="560D307D"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33C18D84" wp14:editId="7C38E1C8">
                  <wp:extent cx="2737484" cy="1539834"/>
                  <wp:effectExtent l="19050" t="19050" r="25400" b="2286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08"/>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530A04B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Cet exercice peut être discuté en plénum, ou par groupes de deux avant le débat en plénum. Au besoin, la solution peut être donnée à tout le monde, p. ex.:</w:t>
            </w:r>
          </w:p>
          <w:p w14:paraId="42641AD4" w14:textId="77777777" w:rsidR="00E4509F" w:rsidRPr="00907C96" w:rsidRDefault="00E4509F" w:rsidP="00D86B1E">
            <w:pPr>
              <w:spacing w:before="120" w:after="40"/>
              <w:rPr>
                <w:rFonts w:ascii="Century Gothic" w:eastAsia="Arial Unicode MS" w:hAnsi="Century Gothic"/>
                <w:i/>
                <w:sz w:val="16"/>
                <w:szCs w:val="16"/>
              </w:rPr>
            </w:pPr>
            <w:r>
              <w:rPr>
                <w:rFonts w:ascii="Century Gothic" w:hAnsi="Century Gothic"/>
                <w:i/>
                <w:sz w:val="16"/>
              </w:rPr>
              <w:t>«Une caractéristique distinctive rend un produit spécial. Grâce à elle, la clientèle ne se décide pas uniquement en fonction du prix (</w:t>
            </w:r>
            <w:r>
              <w:rPr>
                <w:rFonts w:ascii="Century Gothic" w:hAnsi="Century Gothic"/>
                <w:i/>
                <w:sz w:val="16"/>
              </w:rPr>
              <w:sym w:font="Wingdings" w:char="F0E0"/>
            </w:r>
            <w:r>
              <w:rPr>
                <w:rFonts w:ascii="Century Gothic" w:hAnsi="Century Gothic"/>
                <w:i/>
                <w:sz w:val="16"/>
              </w:rPr>
              <w:t xml:space="preserve"> guerre des prix). La caractéristique distinctive ou les caractéristiques distinctives devraient jouer un rôle central dans le concept marketing.»</w:t>
            </w:r>
          </w:p>
        </w:tc>
      </w:tr>
      <w:tr w:rsidR="00E4509F" w:rsidRPr="0083752A" w14:paraId="7031FCE8" w14:textId="77777777" w:rsidTr="00D86B1E">
        <w:tc>
          <w:tcPr>
            <w:tcW w:w="4536" w:type="dxa"/>
          </w:tcPr>
          <w:p w14:paraId="0623246F"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A1BE27D" wp14:editId="3EDB7C0E">
                  <wp:extent cx="2720110" cy="1530062"/>
                  <wp:effectExtent l="19050" t="19050" r="23495" b="1333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20110" cy="1530062"/>
                          </a:xfrm>
                          <a:prstGeom prst="rect">
                            <a:avLst/>
                          </a:prstGeom>
                          <a:noFill/>
                          <a:ln>
                            <a:solidFill>
                              <a:schemeClr val="tx1"/>
                            </a:solidFill>
                          </a:ln>
                        </pic:spPr>
                      </pic:pic>
                    </a:graphicData>
                  </a:graphic>
                </wp:inline>
              </w:drawing>
            </w:r>
          </w:p>
        </w:tc>
        <w:tc>
          <w:tcPr>
            <w:tcW w:w="4820" w:type="dxa"/>
          </w:tcPr>
          <w:p w14:paraId="0D39745E"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Si le programme myidea.ch est parcouru en quelques semaines seulement, il n’y a généralement pas assez de temps pour procéder à une analyse poussée de la concurrence. Une recherche sur Internet ou un entretien avec un/une </w:t>
            </w:r>
            <w:proofErr w:type="spellStart"/>
            <w:r>
              <w:rPr>
                <w:rFonts w:ascii="Century Gothic" w:hAnsi="Century Gothic"/>
                <w:sz w:val="16"/>
              </w:rPr>
              <w:t>expert-e</w:t>
            </w:r>
            <w:proofErr w:type="spellEnd"/>
            <w:r>
              <w:rPr>
                <w:rFonts w:ascii="Century Gothic" w:hAnsi="Century Gothic"/>
                <w:sz w:val="16"/>
              </w:rPr>
              <w:t xml:space="preserve"> qui connaît bien le marché peut aider à obtenir au moins une vue d’ensemble du marché.</w:t>
            </w:r>
          </w:p>
        </w:tc>
      </w:tr>
      <w:tr w:rsidR="00E4509F" w:rsidRPr="0083752A" w14:paraId="048188D6" w14:textId="77777777" w:rsidTr="00D86B1E">
        <w:tc>
          <w:tcPr>
            <w:tcW w:w="4536" w:type="dxa"/>
          </w:tcPr>
          <w:p w14:paraId="48C04A6A"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5166DD7" wp14:editId="4E861F26">
                  <wp:extent cx="2734167" cy="1537968"/>
                  <wp:effectExtent l="19050" t="19050" r="9525" b="2476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13F3A159" w14:textId="77777777" w:rsidR="00E4509F" w:rsidRDefault="00E4509F" w:rsidP="00D86B1E">
            <w:pPr>
              <w:spacing w:before="120" w:after="40"/>
              <w:rPr>
                <w:rFonts w:ascii="Century Gothic" w:eastAsia="Arial Unicode MS" w:hAnsi="Century Gothic"/>
                <w:sz w:val="16"/>
                <w:szCs w:val="16"/>
              </w:rPr>
            </w:pPr>
          </w:p>
        </w:tc>
      </w:tr>
      <w:tr w:rsidR="00E4509F" w:rsidRPr="0083752A" w14:paraId="47B00B1E" w14:textId="77777777" w:rsidTr="00D86B1E">
        <w:tc>
          <w:tcPr>
            <w:tcW w:w="4536" w:type="dxa"/>
          </w:tcPr>
          <w:p w14:paraId="786B216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DC5B995" wp14:editId="2DAC35F4">
                  <wp:extent cx="2712718" cy="1525904"/>
                  <wp:effectExtent l="19050" t="19050" r="12065" b="1778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12718" cy="1525904"/>
                          </a:xfrm>
                          <a:prstGeom prst="rect">
                            <a:avLst/>
                          </a:prstGeom>
                          <a:noFill/>
                          <a:ln>
                            <a:solidFill>
                              <a:schemeClr val="tx1"/>
                            </a:solidFill>
                          </a:ln>
                        </pic:spPr>
                      </pic:pic>
                    </a:graphicData>
                  </a:graphic>
                </wp:inline>
              </w:drawing>
            </w:r>
          </w:p>
        </w:tc>
        <w:tc>
          <w:tcPr>
            <w:tcW w:w="4820" w:type="dxa"/>
          </w:tcPr>
          <w:p w14:paraId="40EC637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À ce stade également, vous pouvez renvoyer les apprenant-e-s à l’exemple de </w:t>
            </w:r>
            <w:proofErr w:type="spellStart"/>
            <w:r>
              <w:rPr>
                <w:rFonts w:ascii="Century Gothic" w:hAnsi="Century Gothic"/>
                <w:sz w:val="16"/>
              </w:rPr>
              <w:t>MyBambooBike</w:t>
            </w:r>
            <w:proofErr w:type="spellEnd"/>
            <w:r>
              <w:rPr>
                <w:rFonts w:ascii="Century Gothic" w:hAnsi="Century Gothic"/>
                <w:sz w:val="16"/>
              </w:rPr>
              <w:t xml:space="preserve">. </w:t>
            </w:r>
            <w:proofErr w:type="spellStart"/>
            <w:r>
              <w:rPr>
                <w:rFonts w:ascii="Century Gothic" w:hAnsi="Century Gothic"/>
                <w:sz w:val="16"/>
              </w:rPr>
              <w:t>MyBambooBike</w:t>
            </w:r>
            <w:proofErr w:type="spellEnd"/>
            <w:r>
              <w:rPr>
                <w:rFonts w:ascii="Century Gothic" w:hAnsi="Century Gothic"/>
                <w:sz w:val="16"/>
              </w:rPr>
              <w:t xml:space="preserve"> possède également plusieurs caractéristiques distinctives.</w:t>
            </w:r>
          </w:p>
        </w:tc>
      </w:tr>
      <w:tr w:rsidR="00E4509F" w:rsidRPr="0083752A" w14:paraId="52BCA6A1" w14:textId="77777777" w:rsidTr="00D86B1E">
        <w:tc>
          <w:tcPr>
            <w:tcW w:w="4536" w:type="dxa"/>
          </w:tcPr>
          <w:p w14:paraId="47A75DA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0DC515E" wp14:editId="01F41C3E">
                  <wp:extent cx="2734167" cy="1537968"/>
                  <wp:effectExtent l="19050" t="19050" r="9525" b="2476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7AC0D51D" w14:textId="77777777" w:rsidR="00E4509F" w:rsidRDefault="00E4509F" w:rsidP="00D86B1E">
            <w:pPr>
              <w:spacing w:before="120" w:after="40"/>
              <w:rPr>
                <w:rFonts w:ascii="Century Gothic" w:eastAsia="Arial Unicode MS" w:hAnsi="Century Gothic"/>
                <w:sz w:val="16"/>
                <w:szCs w:val="16"/>
              </w:rPr>
            </w:pPr>
          </w:p>
        </w:tc>
      </w:tr>
      <w:tr w:rsidR="00E4509F" w:rsidRPr="0083752A" w14:paraId="2C140FD6" w14:textId="77777777" w:rsidTr="00D86B1E">
        <w:tc>
          <w:tcPr>
            <w:tcW w:w="4536" w:type="dxa"/>
          </w:tcPr>
          <w:p w14:paraId="2A515A5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792C9156" wp14:editId="31FEB278">
                  <wp:extent cx="2737484" cy="1539834"/>
                  <wp:effectExtent l="19050" t="19050" r="25400" b="2286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E02712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Demander à chaque équipe de la classe d’expliquer brièvement sa caractéristique distinctive ou ses caractéristiques distinctives peut être un bon exercice. Ces présentations peuvent être suivies de discussions:</w:t>
            </w:r>
          </w:p>
          <w:p w14:paraId="0EBBA097"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Pr>
                <w:rFonts w:ascii="Century Gothic" w:hAnsi="Century Gothic"/>
                <w:sz w:val="16"/>
              </w:rPr>
              <w:t>Pensez-vous que cette caractéristique distinctive vous permet de vous démarquer de votre concurrence?</w:t>
            </w:r>
          </w:p>
          <w:p w14:paraId="4F0C75E7"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Pr>
                <w:rFonts w:ascii="Century Gothic" w:hAnsi="Century Gothic"/>
                <w:sz w:val="16"/>
              </w:rPr>
              <w:t>Pensez-vous qu’il s’agit d’une caractéristique distinctive pertinente pour les client-e-s?</w:t>
            </w:r>
          </w:p>
        </w:tc>
      </w:tr>
      <w:tr w:rsidR="00E4509F" w:rsidRPr="0083752A" w14:paraId="487B90BB" w14:textId="77777777" w:rsidTr="00D86B1E">
        <w:tc>
          <w:tcPr>
            <w:tcW w:w="4536" w:type="dxa"/>
          </w:tcPr>
          <w:p w14:paraId="18B05452"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273977F" wp14:editId="5AC0B76C">
                  <wp:extent cx="2737482" cy="1539834"/>
                  <wp:effectExtent l="19050" t="19050" r="25400" b="2286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37482" cy="1539834"/>
                          </a:xfrm>
                          <a:prstGeom prst="rect">
                            <a:avLst/>
                          </a:prstGeom>
                          <a:noFill/>
                          <a:ln>
                            <a:solidFill>
                              <a:schemeClr val="tx1"/>
                            </a:solidFill>
                          </a:ln>
                        </pic:spPr>
                      </pic:pic>
                    </a:graphicData>
                  </a:graphic>
                </wp:inline>
              </w:drawing>
            </w:r>
          </w:p>
        </w:tc>
        <w:tc>
          <w:tcPr>
            <w:tcW w:w="4820" w:type="dxa"/>
          </w:tcPr>
          <w:p w14:paraId="3F9F7D85"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Dans l’étude de cas «Le café de leurs rêves», l’entreprise a une caractéristique distinctive qui est bien perçue par les client-e-s: le café est extrêmement accueillant. Cependant, le chiffre d’affaires enregistré est insuffisant, car les clients restent plus longtemps sans pour autant consommer davantage.</w:t>
            </w:r>
          </w:p>
          <w:p w14:paraId="649F25D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Cette étude de cas montre qu’il ne suffit pas d’avoir une caractéristique distinctive, il faut également qu’elle soit économiquement viable.</w:t>
            </w:r>
          </w:p>
        </w:tc>
      </w:tr>
      <w:bookmarkEnd w:id="0"/>
    </w:tbl>
    <w:p w14:paraId="476C37CA" w14:textId="77777777" w:rsidR="00E4509F" w:rsidRPr="003A24A2" w:rsidRDefault="00E4509F" w:rsidP="00E4509F"/>
    <w:p w14:paraId="1DA522C4" w14:textId="77777777" w:rsidR="00DA1C03" w:rsidRPr="003A24A2" w:rsidRDefault="00DA1C03"/>
    <w:sectPr w:rsidR="00DA1C03" w:rsidRPr="003A24A2" w:rsidSect="00564E2A">
      <w:headerReference w:type="even" r:id="rId66"/>
      <w:headerReference w:type="default" r:id="rId67"/>
      <w:footerReference w:type="even" r:id="rId68"/>
      <w:footerReference w:type="default" r:id="rId69"/>
      <w:headerReference w:type="first" r:id="rId70"/>
      <w:footerReference w:type="first" r:id="rId71"/>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6048" w14:textId="77777777" w:rsidR="007D0B1D" w:rsidRDefault="007D0B1D">
      <w:r>
        <w:separator/>
      </w:r>
    </w:p>
  </w:endnote>
  <w:endnote w:type="continuationSeparator" w:id="0">
    <w:p w14:paraId="4B83464B" w14:textId="77777777" w:rsidR="007D0B1D" w:rsidRDefault="007D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BF69" w14:textId="77777777" w:rsidR="00BB3649" w:rsidRDefault="009849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31C5DCED" w14:textId="77777777" w:rsidR="00BB3649" w:rsidRPr="007B0DD6" w:rsidRDefault="00E659AF"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EF3DED">
          <w:rPr>
            <w:rFonts w:ascii="Century Gothic" w:hAnsi="Century Gothic"/>
            <w:noProof/>
            <w:sz w:val="20"/>
          </w:rPr>
          <w:t>12</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7496" w14:textId="77777777" w:rsidR="00BB3649" w:rsidRDefault="009849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E07C9" w14:textId="77777777" w:rsidR="007D0B1D" w:rsidRDefault="007D0B1D">
      <w:r>
        <w:separator/>
      </w:r>
    </w:p>
  </w:footnote>
  <w:footnote w:type="continuationSeparator" w:id="0">
    <w:p w14:paraId="2AE1A659" w14:textId="77777777" w:rsidR="007D0B1D" w:rsidRDefault="007D0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1F31" w14:textId="77777777" w:rsidR="00BB3649" w:rsidRDefault="009849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7589" w14:textId="77777777" w:rsidR="00BB3649" w:rsidRDefault="00984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7211" w14:textId="77777777" w:rsidR="00BB3649" w:rsidRDefault="00984925"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509F"/>
    <w:rsid w:val="000501E6"/>
    <w:rsid w:val="002735EE"/>
    <w:rsid w:val="003A24A2"/>
    <w:rsid w:val="006B16DD"/>
    <w:rsid w:val="00742BDD"/>
    <w:rsid w:val="007D0B1D"/>
    <w:rsid w:val="00811BA9"/>
    <w:rsid w:val="00983C3F"/>
    <w:rsid w:val="00984925"/>
    <w:rsid w:val="00CF3802"/>
    <w:rsid w:val="00D56D26"/>
    <w:rsid w:val="00DA1C03"/>
    <w:rsid w:val="00E03847"/>
    <w:rsid w:val="00E4509F"/>
    <w:rsid w:val="00E659AF"/>
    <w:rsid w:val="00EC47C9"/>
    <w:rsid w:val="00EF3DED"/>
    <w:rsid w:val="00F91423"/>
    <w:rsid w:val="00FF4E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BD18"/>
  <w15:docId w15:val="{8B64E4A2-8C1E-4116-8A2A-29D18E43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509F"/>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E4509F"/>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E4509F"/>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E4509F"/>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E4509F"/>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E4509F"/>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E4509F"/>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E4509F"/>
    <w:pPr>
      <w:numPr>
        <w:ilvl w:val="6"/>
        <w:numId w:val="2"/>
      </w:numPr>
      <w:spacing w:before="240" w:after="60"/>
      <w:outlineLvl w:val="6"/>
    </w:pPr>
  </w:style>
  <w:style w:type="paragraph" w:styleId="berschrift8">
    <w:name w:val="heading 8"/>
    <w:basedOn w:val="Standard"/>
    <w:next w:val="Standard"/>
    <w:link w:val="berschrift8Zchn"/>
    <w:uiPriority w:val="99"/>
    <w:qFormat/>
    <w:rsid w:val="00E4509F"/>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E4509F"/>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4509F"/>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E4509F"/>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E4509F"/>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E4509F"/>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E4509F"/>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E4509F"/>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E4509F"/>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E4509F"/>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E4509F"/>
    <w:rPr>
      <w:rFonts w:ascii="Arial" w:eastAsia="Times New Roman" w:hAnsi="Arial" w:cs="Arial"/>
      <w:lang w:eastAsia="de-CH"/>
    </w:rPr>
  </w:style>
  <w:style w:type="paragraph" w:styleId="Listenabsatz">
    <w:name w:val="List Paragraph"/>
    <w:basedOn w:val="Standard"/>
    <w:uiPriority w:val="34"/>
    <w:qFormat/>
    <w:rsid w:val="00E4509F"/>
    <w:pPr>
      <w:spacing w:after="200" w:line="276" w:lineRule="auto"/>
      <w:ind w:left="720"/>
      <w:contextualSpacing/>
    </w:pPr>
    <w:rPr>
      <w:rFonts w:ascii="Calibri" w:hAnsi="Calibri"/>
      <w:sz w:val="22"/>
      <w:szCs w:val="22"/>
      <w:lang w:eastAsia="en-US"/>
    </w:rPr>
  </w:style>
  <w:style w:type="paragraph" w:styleId="Verzeichnis1">
    <w:name w:val="toc 1"/>
    <w:basedOn w:val="Standard"/>
    <w:next w:val="Standard"/>
    <w:autoRedefine/>
    <w:uiPriority w:val="39"/>
    <w:rsid w:val="00E4509F"/>
    <w:pPr>
      <w:tabs>
        <w:tab w:val="left" w:pos="480"/>
        <w:tab w:val="right" w:leader="dot" w:pos="9628"/>
      </w:tabs>
      <w:spacing w:before="120"/>
    </w:pPr>
    <w:rPr>
      <w:b/>
      <w:sz w:val="28"/>
    </w:rPr>
  </w:style>
  <w:style w:type="character" w:styleId="Hyperlink">
    <w:name w:val="Hyperlink"/>
    <w:basedOn w:val="Absatz-Standardschriftart"/>
    <w:uiPriority w:val="99"/>
    <w:rsid w:val="00E4509F"/>
    <w:rPr>
      <w:rFonts w:cs="Times New Roman"/>
      <w:color w:val="0000FF"/>
      <w:u w:val="single"/>
    </w:rPr>
  </w:style>
  <w:style w:type="paragraph" w:styleId="Verzeichnis2">
    <w:name w:val="toc 2"/>
    <w:basedOn w:val="Standard"/>
    <w:next w:val="Standard"/>
    <w:autoRedefine/>
    <w:uiPriority w:val="39"/>
    <w:rsid w:val="00E4509F"/>
    <w:pPr>
      <w:tabs>
        <w:tab w:val="left" w:pos="851"/>
        <w:tab w:val="right" w:leader="dot" w:pos="9628"/>
      </w:tabs>
      <w:ind w:left="240"/>
    </w:pPr>
  </w:style>
  <w:style w:type="paragraph" w:styleId="Verzeichnis3">
    <w:name w:val="toc 3"/>
    <w:basedOn w:val="Standard"/>
    <w:next w:val="Standard"/>
    <w:autoRedefine/>
    <w:uiPriority w:val="39"/>
    <w:rsid w:val="00E4509F"/>
    <w:pPr>
      <w:ind w:left="480"/>
    </w:pPr>
  </w:style>
  <w:style w:type="table" w:styleId="Tabellenraster">
    <w:name w:val="Table Grid"/>
    <w:basedOn w:val="NormaleTabelle"/>
    <w:uiPriority w:val="59"/>
    <w:rsid w:val="00E4509F"/>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E450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09F"/>
    <w:rPr>
      <w:rFonts w:ascii="Tahoma" w:eastAsia="Times New Roman" w:hAnsi="Tahoma" w:cs="Tahoma"/>
      <w:sz w:val="16"/>
      <w:szCs w:val="16"/>
      <w:lang w:eastAsia="de-CH"/>
    </w:rPr>
  </w:style>
  <w:style w:type="paragraph" w:styleId="Kopfzeile">
    <w:name w:val="header"/>
    <w:basedOn w:val="Standard"/>
    <w:link w:val="KopfzeileZchn"/>
    <w:uiPriority w:val="99"/>
    <w:rsid w:val="00E4509F"/>
    <w:pPr>
      <w:tabs>
        <w:tab w:val="center" w:pos="4536"/>
        <w:tab w:val="right" w:pos="9072"/>
      </w:tabs>
    </w:pPr>
  </w:style>
  <w:style w:type="character" w:customStyle="1" w:styleId="KopfzeileZchn">
    <w:name w:val="Kopfzeile Zchn"/>
    <w:basedOn w:val="Absatz-Standardschriftart"/>
    <w:link w:val="Kopfzeile"/>
    <w:uiPriority w:val="99"/>
    <w:rsid w:val="00E4509F"/>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E4509F"/>
    <w:pPr>
      <w:tabs>
        <w:tab w:val="center" w:pos="4536"/>
        <w:tab w:val="right" w:pos="9072"/>
      </w:tabs>
    </w:pPr>
    <w:rPr>
      <w:lang w:eastAsia="ja-JP"/>
    </w:rPr>
  </w:style>
  <w:style w:type="character" w:customStyle="1" w:styleId="FuzeileZchn">
    <w:name w:val="Fußzeile Zchn"/>
    <w:basedOn w:val="Absatz-Standardschriftart"/>
    <w:link w:val="Fuzeile"/>
    <w:uiPriority w:val="99"/>
    <w:rsid w:val="00E4509F"/>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E4509F"/>
    <w:rPr>
      <w:rFonts w:cs="Times New Roman"/>
    </w:rPr>
  </w:style>
  <w:style w:type="paragraph" w:styleId="Inhaltsverzeichnisberschrift">
    <w:name w:val="TOC Heading"/>
    <w:basedOn w:val="berschrift1"/>
    <w:next w:val="Standard"/>
    <w:uiPriority w:val="39"/>
    <w:qFormat/>
    <w:rsid w:val="00E4509F"/>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E4509F"/>
    <w:pPr>
      <w:spacing w:after="200" w:line="276" w:lineRule="auto"/>
      <w:ind w:left="720"/>
      <w:contextualSpacing/>
    </w:pPr>
    <w:rPr>
      <w:rFonts w:ascii="Calibri" w:hAnsi="Calibri"/>
      <w:sz w:val="22"/>
      <w:szCs w:val="22"/>
      <w:lang w:eastAsia="en-US"/>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4509F"/>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E4509F"/>
    <w:rPr>
      <w:b/>
      <w:bCs/>
    </w:rPr>
  </w:style>
  <w:style w:type="character" w:customStyle="1" w:styleId="KommentarthemaZchn">
    <w:name w:val="Kommentarthema Zchn"/>
    <w:basedOn w:val="KommentartextZchn"/>
    <w:link w:val="Kommentarthema"/>
    <w:uiPriority w:val="99"/>
    <w:semiHidden/>
    <w:rsid w:val="00E4509F"/>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E4509F"/>
    <w:pPr>
      <w:jc w:val="both"/>
    </w:pPr>
    <w:rPr>
      <w:sz w:val="18"/>
    </w:rPr>
  </w:style>
  <w:style w:type="paragraph" w:styleId="Funotentext">
    <w:name w:val="footnote text"/>
    <w:basedOn w:val="Standard"/>
    <w:link w:val="FunotentextZchn"/>
    <w:rsid w:val="00E4509F"/>
    <w:rPr>
      <w:sz w:val="20"/>
      <w:szCs w:val="20"/>
    </w:rPr>
  </w:style>
  <w:style w:type="character" w:customStyle="1" w:styleId="FunotentextZchn">
    <w:name w:val="Fußnotentext Zchn"/>
    <w:basedOn w:val="Absatz-Standardschriftart"/>
    <w:link w:val="Funotentext"/>
    <w:rsid w:val="00E4509F"/>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E4509F"/>
    <w:rPr>
      <w:rFonts w:cs="Times New Roman"/>
      <w:vertAlign w:val="superscript"/>
    </w:rPr>
  </w:style>
  <w:style w:type="table" w:styleId="HellesRaster-Akzent4">
    <w:name w:val="Light Grid Accent 4"/>
    <w:basedOn w:val="NormaleTabelle"/>
    <w:uiPriority w:val="99"/>
    <w:rsid w:val="00E4509F"/>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E4509F"/>
    <w:pPr>
      <w:spacing w:before="240" w:after="240"/>
      <w:jc w:val="center"/>
    </w:pPr>
    <w:rPr>
      <w:b/>
      <w:bCs/>
      <w:sz w:val="22"/>
      <w:szCs w:val="20"/>
    </w:rPr>
  </w:style>
  <w:style w:type="paragraph" w:styleId="Abbildungsverzeichnis">
    <w:name w:val="table of figures"/>
    <w:basedOn w:val="Standard"/>
    <w:next w:val="Standard"/>
    <w:uiPriority w:val="99"/>
    <w:rsid w:val="00E4509F"/>
  </w:style>
  <w:style w:type="paragraph" w:styleId="Verzeichnis4">
    <w:name w:val="toc 4"/>
    <w:basedOn w:val="Standard"/>
    <w:next w:val="Standard"/>
    <w:autoRedefine/>
    <w:uiPriority w:val="99"/>
    <w:rsid w:val="00E4509F"/>
    <w:pPr>
      <w:ind w:left="720"/>
    </w:pPr>
  </w:style>
  <w:style w:type="paragraph" w:styleId="StandardWeb">
    <w:name w:val="Normal (Web)"/>
    <w:basedOn w:val="Standard"/>
    <w:uiPriority w:val="99"/>
    <w:rsid w:val="00E4509F"/>
    <w:pPr>
      <w:spacing w:before="100" w:beforeAutospacing="1" w:after="100" w:afterAutospacing="1"/>
    </w:pPr>
  </w:style>
  <w:style w:type="paragraph" w:styleId="Dokumentstruktur">
    <w:name w:val="Document Map"/>
    <w:basedOn w:val="Standard"/>
    <w:link w:val="DokumentstrukturZchn"/>
    <w:uiPriority w:val="99"/>
    <w:semiHidden/>
    <w:rsid w:val="00E4509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E4509F"/>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E4509F"/>
    <w:pPr>
      <w:tabs>
        <w:tab w:val="num" w:pos="360"/>
      </w:tabs>
      <w:ind w:left="360" w:hanging="360"/>
      <w:contextualSpacing/>
    </w:pPr>
  </w:style>
  <w:style w:type="character" w:customStyle="1" w:styleId="googqs-tidbit-0">
    <w:name w:val="goog_qs-tidbit-0"/>
    <w:basedOn w:val="Absatz-Standardschriftart"/>
    <w:uiPriority w:val="99"/>
    <w:rsid w:val="00E4509F"/>
    <w:rPr>
      <w:rFonts w:cs="Times New Roman"/>
    </w:rPr>
  </w:style>
  <w:style w:type="paragraph" w:styleId="Textkrper">
    <w:name w:val="Body Text"/>
    <w:aliases w:val="Char"/>
    <w:basedOn w:val="Standard"/>
    <w:link w:val="TextkrperZchn"/>
    <w:uiPriority w:val="99"/>
    <w:rsid w:val="00E4509F"/>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rsid w:val="00E4509F"/>
    <w:rPr>
      <w:rFonts w:ascii="Times New Roman" w:eastAsia="Times New Roman" w:hAnsi="Times New Roman" w:cs="Times New Roman"/>
      <w:lang w:val="fr-CH"/>
    </w:rPr>
  </w:style>
  <w:style w:type="character" w:styleId="Fett">
    <w:name w:val="Strong"/>
    <w:basedOn w:val="Absatz-Standardschriftart"/>
    <w:uiPriority w:val="22"/>
    <w:qFormat/>
    <w:rsid w:val="00E4509F"/>
    <w:rPr>
      <w:rFonts w:cs="Times New Roman"/>
      <w:b/>
    </w:rPr>
  </w:style>
  <w:style w:type="character" w:styleId="Hervorhebung">
    <w:name w:val="Emphasis"/>
    <w:basedOn w:val="Absatz-Standardschriftart"/>
    <w:uiPriority w:val="20"/>
    <w:qFormat/>
    <w:rsid w:val="00E4509F"/>
    <w:rPr>
      <w:rFonts w:cs="Times New Roman"/>
      <w:i/>
    </w:rPr>
  </w:style>
  <w:style w:type="paragraph" w:customStyle="1" w:styleId="StandardWe">
    <w:name w:val="Standard (We"/>
    <w:basedOn w:val="Standard"/>
    <w:uiPriority w:val="99"/>
    <w:rsid w:val="00E4509F"/>
    <w:pPr>
      <w:spacing w:before="100" w:beforeAutospacing="1" w:after="100" w:afterAutospacing="1"/>
    </w:pPr>
  </w:style>
  <w:style w:type="paragraph" w:customStyle="1" w:styleId="Absatz">
    <w:name w:val="Absatz"/>
    <w:basedOn w:val="Standard"/>
    <w:uiPriority w:val="99"/>
    <w:rsid w:val="00E4509F"/>
    <w:pPr>
      <w:spacing w:after="120" w:line="320" w:lineRule="exact"/>
      <w:jc w:val="both"/>
    </w:pPr>
    <w:rPr>
      <w:rFonts w:ascii="Times" w:hAnsi="Times"/>
      <w:szCs w:val="20"/>
      <w:lang w:eastAsia="en-US"/>
    </w:rPr>
  </w:style>
  <w:style w:type="paragraph" w:customStyle="1" w:styleId="AbsatzTab">
    <w:name w:val="Absatz Tab."/>
    <w:basedOn w:val="Absatz"/>
    <w:uiPriority w:val="99"/>
    <w:rsid w:val="00E4509F"/>
    <w:pPr>
      <w:keepNext/>
      <w:spacing w:before="60" w:after="60"/>
    </w:pPr>
  </w:style>
  <w:style w:type="paragraph" w:customStyle="1" w:styleId="AbsatzTabzen">
    <w:name w:val="Absatz Tab zen"/>
    <w:basedOn w:val="AbsatzTab"/>
    <w:uiPriority w:val="99"/>
    <w:rsid w:val="00E4509F"/>
    <w:pPr>
      <w:jc w:val="center"/>
    </w:pPr>
  </w:style>
  <w:style w:type="paragraph" w:styleId="KeinLeerraum">
    <w:name w:val="No Spacing"/>
    <w:uiPriority w:val="99"/>
    <w:qFormat/>
    <w:rsid w:val="00E4509F"/>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E4509F"/>
    <w:pPr>
      <w:jc w:val="both"/>
    </w:pPr>
    <w:rPr>
      <w:rFonts w:ascii="Arial" w:hAnsi="Arial" w:cs="Arial"/>
      <w:sz w:val="20"/>
      <w:szCs w:val="20"/>
    </w:rPr>
  </w:style>
  <w:style w:type="paragraph" w:customStyle="1" w:styleId="Standa2">
    <w:name w:val="Standa2"/>
    <w:rsid w:val="00E4509F"/>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E4509F"/>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E4509F"/>
    <w:pPr>
      <w:ind w:left="720"/>
    </w:pPr>
  </w:style>
  <w:style w:type="paragraph" w:customStyle="1" w:styleId="Listenabsatz2">
    <w:name w:val="Listenabsatz2"/>
    <w:basedOn w:val="Standa2"/>
    <w:rsid w:val="00E4509F"/>
    <w:pPr>
      <w:ind w:left="720"/>
    </w:pPr>
    <w:rPr>
      <w:rFonts w:eastAsia="Calibri"/>
    </w:rPr>
  </w:style>
  <w:style w:type="character" w:customStyle="1" w:styleId="labelwrapper">
    <w:name w:val="labelwrapper"/>
    <w:basedOn w:val="Absatz-Standardschriftart"/>
    <w:rsid w:val="00E4509F"/>
  </w:style>
  <w:style w:type="table" w:customStyle="1" w:styleId="Listentabelle6farbig1">
    <w:name w:val="Listentabelle 6 farbig1"/>
    <w:basedOn w:val="NormaleTabelle"/>
    <w:uiPriority w:val="51"/>
    <w:rsid w:val="00E4509F"/>
    <w:pPr>
      <w:spacing w:after="0" w:line="240" w:lineRule="auto"/>
    </w:pPr>
    <w:rPr>
      <w:rFonts w:asciiTheme="minorHAnsi" w:hAnsi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E4509F"/>
  </w:style>
  <w:style w:type="paragraph" w:customStyle="1" w:styleId="Standa3">
    <w:name w:val="Standa3"/>
    <w:uiPriority w:val="99"/>
    <w:rsid w:val="00E4509F"/>
    <w:pPr>
      <w:spacing w:after="200" w:line="276" w:lineRule="auto"/>
      <w:jc w:val="both"/>
    </w:pPr>
    <w:rPr>
      <w:rFonts w:ascii="Calibri" w:eastAsia="Times New Roman" w:hAnsi="Calibri" w:cs="Times New Roman"/>
      <w:lang w:eastAsia="fr-CH"/>
    </w:rPr>
  </w:style>
  <w:style w:type="table" w:customStyle="1" w:styleId="Tabellenraster1">
    <w:name w:val="Tabellenraster1"/>
    <w:basedOn w:val="NormaleTabelle"/>
    <w:next w:val="Tabellenraster"/>
    <w:uiPriority w:val="59"/>
    <w:rsid w:val="00E45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09F"/>
    <w:pPr>
      <w:autoSpaceDE w:val="0"/>
      <w:autoSpaceDN w:val="0"/>
      <w:adjustRightInd w:val="0"/>
      <w:spacing w:after="0" w:line="240" w:lineRule="auto"/>
    </w:pPr>
    <w:rPr>
      <w:rFonts w:ascii="Times New Roman" w:eastAsia="Times New Roman" w:hAnsi="Times New Roman" w:cs="Times New Roman"/>
      <w:color w:val="000000"/>
      <w:sz w:val="24"/>
      <w:szCs w:val="24"/>
      <w:lang w:eastAsia="de-CH"/>
    </w:rPr>
  </w:style>
  <w:style w:type="paragraph" w:customStyle="1" w:styleId="Fallstudietext">
    <w:name w:val="Fallstudie text"/>
    <w:basedOn w:val="Standard"/>
    <w:rsid w:val="00E4509F"/>
    <w:rPr>
      <w:rFonts w:ascii="Palatino Linotype" w:hAnsi="Palatino Linotype"/>
      <w:noProof/>
      <w:sz w:val="20"/>
      <w:szCs w:val="20"/>
      <w:lang w:eastAsia="de-DE"/>
    </w:rPr>
  </w:style>
  <w:style w:type="paragraph" w:customStyle="1" w:styleId="berschriftohneZhlung">
    <w:name w:val="Überschrift ohne Zählung"/>
    <w:basedOn w:val="berschrift3"/>
    <w:rsid w:val="00E4509F"/>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E4509F"/>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E4509F"/>
    <w:pPr>
      <w:spacing w:after="0" w:line="240" w:lineRule="auto"/>
    </w:pPr>
    <w:rPr>
      <w:rFonts w:ascii="Cambria" w:eastAsia="MS Mincho" w:hAnsi="Cambria"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E4509F"/>
    <w:pPr>
      <w:spacing w:after="0" w:line="240" w:lineRule="auto"/>
    </w:pPr>
    <w:rPr>
      <w:rFonts w:ascii="Calibri" w:eastAsia="Times New Roman"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E45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E4509F"/>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E45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4509F"/>
    <w:rPr>
      <w:color w:val="605E5C"/>
      <w:shd w:val="clear" w:color="auto" w:fill="E1DFDD"/>
    </w:rPr>
  </w:style>
  <w:style w:type="character" w:customStyle="1" w:styleId="acopre">
    <w:name w:val="acopre"/>
    <w:basedOn w:val="Absatz-Standardschriftart"/>
    <w:rsid w:val="00E4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5.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hyperlink" Target="https://catalogue.education21.ch/fr/lor" TargetMode="External"/><Relationship Id="rId32" Type="http://schemas.openxmlformats.org/officeDocument/2006/relationships/image" Target="media/image22.jpeg"/><Relationship Id="rId37" Type="http://schemas.openxmlformats.org/officeDocument/2006/relationships/hyperlink" Target="https://epeaswitzerland.com/"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yperlink" Target="http://www.footprintcalculator.org/" TargetMode="External"/><Relationship Id="rId27" Type="http://schemas.openxmlformats.org/officeDocument/2006/relationships/hyperlink" Target="https://cleanclothes.org/" TargetMode="External"/><Relationship Id="rId30" Type="http://schemas.openxmlformats.org/officeDocument/2006/relationships/image" Target="media/image20.jpeg"/><Relationship Id="rId35" Type="http://schemas.openxmlformats.org/officeDocument/2006/relationships/hyperlink" Target="https://circular-economy-switzerland.ch/"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epeaswitzerland.com/" TargetMode="Externa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catalogue.education21.ch/fr/mystery-leau-virtuelle-partir-de-lexemple-du-coton-ouzbeke-sec-ii" TargetMode="External"/><Relationship Id="rId28" Type="http://schemas.openxmlformats.org/officeDocument/2006/relationships/image" Target="media/image18.jpeg"/><Relationship Id="rId36" Type="http://schemas.openxmlformats.org/officeDocument/2006/relationships/hyperlink" Target="https://circularhub.ch/" TargetMode="Externa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4.jpeg"/><Relationship Id="rId34" Type="http://schemas.openxmlformats.org/officeDocument/2006/relationships/hyperlink" Target="https://www.bafu.admin.ch/bafu/fr/home/themes/economie-consommation/info-specialistes/economie-circulaire.html" TargetMode="External"/><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image" Target="media/image1.jpeg"/><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2763</Words>
  <Characters>17409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12</cp:revision>
  <dcterms:created xsi:type="dcterms:W3CDTF">2021-05-25T06:55:00Z</dcterms:created>
  <dcterms:modified xsi:type="dcterms:W3CDTF">2022-11-14T09:14:00Z</dcterms:modified>
</cp:coreProperties>
</file>