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r w:rsidR="00406A49" w:rsidRPr="00F31845">
        <w:rPr>
          <w:rFonts w:ascii="Century Gothic" w:hAnsi="Century Gothic"/>
          <w:b/>
          <w:sz w:val="32"/>
          <w:szCs w:val="32"/>
        </w:rPr>
        <w:t xml:space="preserve">Slides </w:t>
      </w:r>
      <w:r w:rsidR="00A80478" w:rsidRPr="00F31845">
        <w:rPr>
          <w:rFonts w:ascii="Century Gothic" w:hAnsi="Century Gothic"/>
          <w:b/>
          <w:sz w:val="32"/>
          <w:szCs w:val="32"/>
        </w:rPr>
        <w:t>Lehrpersonen</w:t>
      </w:r>
    </w:p>
    <w:p w14:paraId="0AA56202" w14:textId="010F7D54" w:rsidR="004B49C8" w:rsidRPr="00F31845" w:rsidRDefault="005476A7" w:rsidP="006F630F">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4B49C8" w:rsidRPr="00F31845">
        <w:rPr>
          <w:rFonts w:ascii="Century Gothic" w:hAnsi="Century Gothic"/>
          <w:b/>
          <w:sz w:val="22"/>
          <w:szCs w:val="22"/>
        </w:rPr>
        <w:t xml:space="preserve"> </w:t>
      </w:r>
      <w:r w:rsidR="001B2C92" w:rsidRPr="00F31845">
        <w:rPr>
          <w:rFonts w:ascii="Century Gothic" w:hAnsi="Century Gothic"/>
          <w:b/>
          <w:sz w:val="22"/>
          <w:szCs w:val="22"/>
        </w:rPr>
        <w:t>6: N</w:t>
      </w:r>
      <w:r w:rsidR="004B49C8" w:rsidRPr="00F31845">
        <w:rPr>
          <w:rFonts w:ascii="Century Gothic" w:hAnsi="Century Gothic"/>
          <w:b/>
          <w:sz w:val="22"/>
          <w:szCs w:val="22"/>
        </w:rPr>
        <w:t xml:space="preserve">egatives Wissen </w:t>
      </w:r>
      <w:r w:rsidR="001B2C92" w:rsidRPr="00F31845">
        <w:rPr>
          <w:rFonts w:ascii="Century Gothic" w:hAnsi="Century Gothic"/>
          <w:b/>
          <w:sz w:val="22"/>
          <w:szCs w:val="22"/>
        </w:rPr>
        <w:t>&amp;</w:t>
      </w:r>
      <w:r w:rsidR="004B49C8" w:rsidRPr="00F31845">
        <w:rPr>
          <w:rFonts w:ascii="Century Gothic" w:hAnsi="Century Gothic"/>
          <w:b/>
          <w:sz w:val="22"/>
          <w:szCs w:val="22"/>
        </w:rPr>
        <w:t xml:space="preserve"> Arbeit mit Fällen </w:t>
      </w:r>
    </w:p>
    <w:p w14:paraId="32DBB12B" w14:textId="77777777" w:rsidR="006F630F" w:rsidRPr="00F31845" w:rsidRDefault="006F630F" w:rsidP="006F630F">
      <w:pPr>
        <w:spacing w:line="360" w:lineRule="auto"/>
        <w:jc w:val="center"/>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795B8D" w:rsidRPr="00F31845" w14:paraId="0012D68A" w14:textId="77777777" w:rsidTr="0051623D">
        <w:tc>
          <w:tcPr>
            <w:tcW w:w="4536" w:type="dxa"/>
          </w:tcPr>
          <w:p w14:paraId="793E75A5" w14:textId="77777777" w:rsidR="00795B8D" w:rsidRPr="00F31845" w:rsidRDefault="00795B8D" w:rsidP="0051623D">
            <w:pPr>
              <w:spacing w:before="200" w:after="200"/>
              <w:ind w:left="34"/>
              <w:rPr>
                <w:rFonts w:eastAsia="Arial Unicode MS"/>
              </w:rPr>
            </w:pPr>
            <w:r w:rsidRPr="00F31845">
              <w:rPr>
                <w:noProof/>
              </w:rPr>
              <w:drawing>
                <wp:inline distT="0" distB="0" distL="0" distR="0" wp14:anchorId="1A43BE30" wp14:editId="0B45A855">
                  <wp:extent cx="2743200" cy="1543049"/>
                  <wp:effectExtent l="19050" t="19050" r="19050" b="1968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pic:cNvPicPr/>
                        </pic:nvPicPr>
                        <pic:blipFill>
                          <a:blip r:embed="rId8"/>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6C342A5B" w14:textId="77777777" w:rsidR="00795B8D" w:rsidRPr="00F31845" w:rsidRDefault="00795B8D" w:rsidP="0051623D">
            <w:pPr>
              <w:spacing w:before="200"/>
              <w:rPr>
                <w:rFonts w:ascii="Century Gothic" w:eastAsia="Arial Unicode MS" w:hAnsi="Century Gothic"/>
                <w:b/>
                <w:sz w:val="16"/>
                <w:szCs w:val="16"/>
              </w:rPr>
            </w:pPr>
            <w:r w:rsidRPr="00F31845">
              <w:rPr>
                <w:rFonts w:ascii="Century Gothic" w:eastAsia="Arial Unicode MS" w:hAnsi="Century Gothic"/>
                <w:b/>
                <w:sz w:val="16"/>
                <w:szCs w:val="16"/>
              </w:rPr>
              <w:t>Lernen, wie bei der Entwicklung eines Startups das frühe Scheitern vermieden werden kann</w:t>
            </w:r>
          </w:p>
          <w:p w14:paraId="2849E929" w14:textId="77777777"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Diese Sequenz befasst sich mit der Bedeutung des negativen Wissens für den Gründungsprozess eines Jungunternehmens. Das Arbeiten mit Fallstudien wird dabei als eine wichtige Methode zum Aufbau von negativem Wissen vorgestellt. Zudem werden die in myidea verwendeten Fallstudien kurz charakterisiert.</w:t>
            </w:r>
          </w:p>
          <w:p w14:paraId="3682865D" w14:textId="77777777" w:rsidR="00795B8D" w:rsidRPr="00F31845" w:rsidRDefault="00795B8D" w:rsidP="0051623D">
            <w:pPr>
              <w:spacing w:before="200"/>
              <w:rPr>
                <w:rFonts w:ascii="Century Gothic" w:eastAsia="Arial Unicode MS" w:hAnsi="Century Gothic"/>
                <w:b/>
                <w:sz w:val="16"/>
                <w:szCs w:val="16"/>
              </w:rPr>
            </w:pPr>
            <w:r w:rsidRPr="00F31845">
              <w:rPr>
                <w:rFonts w:ascii="Century Gothic" w:eastAsia="Arial Unicode MS" w:hAnsi="Century Gothic"/>
                <w:b/>
                <w:sz w:val="16"/>
                <w:szCs w:val="16"/>
              </w:rPr>
              <w:t>Ziele dieser Sequenz:</w:t>
            </w:r>
          </w:p>
          <w:p w14:paraId="486967AA" w14:textId="77777777" w:rsidR="00795B8D" w:rsidRPr="00F31845" w:rsidRDefault="00795B8D" w:rsidP="0051623D">
            <w:pPr>
              <w:pStyle w:val="Listenabsatz"/>
              <w:numPr>
                <w:ilvl w:val="0"/>
                <w:numId w:val="9"/>
              </w:num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 die Bedeutung des negativen Wissens für das Lernen im Allgemeinen und für den Aufbau eines Jungunternehmens im Speziellen erläutern.</w:t>
            </w:r>
          </w:p>
          <w:p w14:paraId="0EBAC259" w14:textId="77777777" w:rsidR="00795B8D" w:rsidRPr="00F31845" w:rsidRDefault="00795B8D" w:rsidP="0051623D">
            <w:pPr>
              <w:pStyle w:val="Listenabsatz"/>
              <w:numPr>
                <w:ilvl w:val="0"/>
                <w:numId w:val="9"/>
              </w:num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 begründen, weshalb sich das Arbeiten mit Fallstudien für das problembasierte Lernen eignet.</w:t>
            </w:r>
          </w:p>
          <w:p w14:paraId="2DBE7ECA" w14:textId="77777777" w:rsidR="00795B8D" w:rsidRPr="00F31845" w:rsidRDefault="00795B8D" w:rsidP="0051623D">
            <w:pPr>
              <w:pStyle w:val="Listenabsatz"/>
              <w:numPr>
                <w:ilvl w:val="0"/>
                <w:numId w:val="9"/>
              </w:num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 erläutern, wie sich das Bearbeiten von Scheiternsgeschichten auf Elaboration und Lerntransfer auswirkt.</w:t>
            </w:r>
          </w:p>
        </w:tc>
      </w:tr>
      <w:tr w:rsidR="00795B8D" w:rsidRPr="00F31845" w14:paraId="2D2DE3AF" w14:textId="77777777" w:rsidTr="0051623D">
        <w:tc>
          <w:tcPr>
            <w:tcW w:w="4536" w:type="dxa"/>
          </w:tcPr>
          <w:p w14:paraId="6DBD26B9" w14:textId="77777777" w:rsidR="00795B8D" w:rsidRPr="00F31845" w:rsidRDefault="00795B8D" w:rsidP="0051623D">
            <w:pPr>
              <w:spacing w:before="200" w:after="200"/>
              <w:rPr>
                <w:rFonts w:eastAsia="Arial Unicode MS"/>
              </w:rPr>
            </w:pPr>
            <w:r w:rsidRPr="00F31845">
              <w:rPr>
                <w:noProof/>
              </w:rPr>
              <w:drawing>
                <wp:inline distT="0" distB="0" distL="0" distR="0" wp14:anchorId="4D07DE87" wp14:editId="5B62EDB1">
                  <wp:extent cx="2743200" cy="1543049"/>
                  <wp:effectExtent l="19050" t="19050" r="19050" b="1968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9"/>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0C838910"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Das negative Wissen und einige seiner Funktionen werden kurz vorgestellt. Die Konzeption erschliesst sich unmittelbar, da alle Menschen über negatives Wissen verfügen und dieses in ihrem Alltag anwenden.</w:t>
            </w:r>
          </w:p>
        </w:tc>
      </w:tr>
      <w:tr w:rsidR="00795B8D" w:rsidRPr="00F31845" w14:paraId="2A30F1A5" w14:textId="77777777" w:rsidTr="0051623D">
        <w:tc>
          <w:tcPr>
            <w:tcW w:w="4536" w:type="dxa"/>
          </w:tcPr>
          <w:p w14:paraId="5484853E" w14:textId="77777777" w:rsidR="00795B8D" w:rsidRPr="00F31845" w:rsidRDefault="00795B8D" w:rsidP="0051623D">
            <w:pPr>
              <w:spacing w:before="200" w:after="200"/>
            </w:pPr>
            <w:r w:rsidRPr="00F31845">
              <w:rPr>
                <w:noProof/>
              </w:rPr>
              <w:drawing>
                <wp:inline distT="0" distB="0" distL="0" distR="0" wp14:anchorId="4CF60DFC" wp14:editId="6E75DE0A">
                  <wp:extent cx="2743200" cy="1543049"/>
                  <wp:effectExtent l="19050" t="19050" r="19050" b="1968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pic:cNvPicPr/>
                        </pic:nvPicPr>
                        <pic:blipFill>
                          <a:blip r:embed="rId10"/>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7AF87F1A"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Das Negative ist mächtig, es fällt auf. Wir sehen sofort den traurigen Smiley. Wären dies Gesichter von Menschen, würden die meisten von uns anfangen, uns zum einen traurigen Gesicht Gedanken zu machen und die vielen glücklichen Gesichter nicht beachten. </w:t>
            </w:r>
          </w:p>
        </w:tc>
      </w:tr>
      <w:tr w:rsidR="00795B8D" w:rsidRPr="00F31845" w14:paraId="6C31E897" w14:textId="77777777" w:rsidTr="0051623D">
        <w:tc>
          <w:tcPr>
            <w:tcW w:w="4536" w:type="dxa"/>
          </w:tcPr>
          <w:p w14:paraId="32B321AE" w14:textId="77777777" w:rsidR="00795B8D" w:rsidRPr="00F31845" w:rsidRDefault="00795B8D" w:rsidP="0051623D">
            <w:pPr>
              <w:spacing w:before="200" w:after="200"/>
              <w:ind w:left="34"/>
              <w:rPr>
                <w:rFonts w:eastAsia="Arial Unicode MS"/>
              </w:rPr>
            </w:pPr>
            <w:r w:rsidRPr="00F31845">
              <w:rPr>
                <w:noProof/>
              </w:rPr>
              <w:drawing>
                <wp:inline distT="0" distB="0" distL="0" distR="0" wp14:anchorId="4AC3610A" wp14:editId="7571EEDE">
                  <wp:extent cx="2743200" cy="1543049"/>
                  <wp:effectExtent l="19050" t="19050" r="19050" b="1968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pic:nvPicPr>
                        <pic:blipFill>
                          <a:blip r:embed="rId11"/>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1D1FE8C7"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wird erläutert, weshalb das Negative bedeutsam ist und besonders gut wahrgenommen und erinnert wird. Da Expertise nicht nur aus Wissen besteht, wie etwas funktioniert, zu sein hat usw., sondern eben auch, wie etwas </w:t>
            </w:r>
            <w:r w:rsidRPr="00F31845">
              <w:rPr>
                <w:rFonts w:ascii="Century Gothic" w:eastAsia="Arial Unicode MS" w:hAnsi="Century Gothic"/>
                <w:bCs/>
                <w:sz w:val="16"/>
                <w:szCs w:val="16"/>
                <w:u w:val="single"/>
              </w:rPr>
              <w:t>nicht</w:t>
            </w:r>
            <w:r w:rsidRPr="00F31845">
              <w:rPr>
                <w:rFonts w:ascii="Century Gothic" w:eastAsia="Arial Unicode MS" w:hAnsi="Century Gothic"/>
                <w:bCs/>
                <w:sz w:val="16"/>
                <w:szCs w:val="16"/>
              </w:rPr>
              <w:t xml:space="preserve"> funktioniert, </w:t>
            </w:r>
            <w:r w:rsidRPr="00F31845">
              <w:rPr>
                <w:rFonts w:ascii="Century Gothic" w:eastAsia="Arial Unicode MS" w:hAnsi="Century Gothic"/>
                <w:bCs/>
                <w:sz w:val="16"/>
                <w:szCs w:val="16"/>
                <w:u w:val="single"/>
              </w:rPr>
              <w:t>nicht</w:t>
            </w:r>
            <w:r w:rsidRPr="00F31845">
              <w:rPr>
                <w:rFonts w:ascii="Century Gothic" w:eastAsia="Arial Unicode MS" w:hAnsi="Century Gothic"/>
                <w:bCs/>
                <w:sz w:val="16"/>
                <w:szCs w:val="16"/>
              </w:rPr>
              <w:t xml:space="preserve"> zu sein hat usw., hat negatives Wissen seinen festen Platz im Aufbau von Expertise.</w:t>
            </w:r>
          </w:p>
        </w:tc>
      </w:tr>
      <w:tr w:rsidR="00795B8D" w:rsidRPr="00F31845" w14:paraId="4DFF510A" w14:textId="77777777" w:rsidTr="0051623D">
        <w:tc>
          <w:tcPr>
            <w:tcW w:w="4536" w:type="dxa"/>
          </w:tcPr>
          <w:p w14:paraId="51B4E1F0" w14:textId="77777777" w:rsidR="00795B8D" w:rsidRPr="00F31845" w:rsidRDefault="00795B8D" w:rsidP="0051623D">
            <w:pPr>
              <w:spacing w:before="200" w:after="200"/>
              <w:ind w:left="34"/>
              <w:rPr>
                <w:rFonts w:eastAsia="Arial Unicode MS"/>
              </w:rPr>
            </w:pPr>
            <w:r w:rsidRPr="00F31845">
              <w:rPr>
                <w:noProof/>
              </w:rPr>
              <w:lastRenderedPageBreak/>
              <w:drawing>
                <wp:inline distT="0" distB="0" distL="0" distR="0" wp14:anchorId="5F30ECEA" wp14:editId="3EB9A975">
                  <wp:extent cx="2743200" cy="1543049"/>
                  <wp:effectExtent l="19050" t="19050" r="19050" b="1968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pic:nvPicPr>
                        <pic:blipFill>
                          <a:blip r:embed="rId12"/>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234CA269" w14:textId="71AAD6A0"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Da im Programm myidea an komplexen Problemstellungen gearbeitet wird, </w:t>
            </w:r>
            <w:r w:rsidR="00411C37">
              <w:rPr>
                <w:rFonts w:ascii="Century Gothic" w:eastAsia="Arial Unicode MS" w:hAnsi="Century Gothic"/>
                <w:bCs/>
                <w:sz w:val="16"/>
                <w:szCs w:val="16"/>
              </w:rPr>
              <w:t>werden</w:t>
            </w:r>
            <w:r w:rsidRPr="00F31845">
              <w:rPr>
                <w:rFonts w:ascii="Century Gothic" w:eastAsia="Arial Unicode MS" w:hAnsi="Century Gothic"/>
                <w:bCs/>
                <w:sz w:val="16"/>
                <w:szCs w:val="16"/>
              </w:rPr>
              <w:t xml:space="preserve"> geeignete didaktische Mittel</w:t>
            </w:r>
            <w:r w:rsidR="00411C37">
              <w:rPr>
                <w:rFonts w:ascii="Century Gothic" w:eastAsia="Arial Unicode MS" w:hAnsi="Century Gothic"/>
                <w:bCs/>
                <w:sz w:val="16"/>
                <w:szCs w:val="16"/>
              </w:rPr>
              <w:t xml:space="preserve"> benötigt</w:t>
            </w:r>
            <w:r w:rsidRPr="00F31845">
              <w:rPr>
                <w:rFonts w:ascii="Century Gothic" w:eastAsia="Arial Unicode MS" w:hAnsi="Century Gothic"/>
                <w:bCs/>
                <w:sz w:val="16"/>
                <w:szCs w:val="16"/>
              </w:rPr>
              <w:t xml:space="preserve">. Hier kommt die Arbeit mit Fallstudien ins Spiel. Besonders relevant ist, dass gut konstruierte, lebensnahe Fallstudien durch ihre Nähe an reale Anwendungssituationen den Transfer des Gelernten an zukünftige Anwendungssituationen fördern. </w:t>
            </w:r>
          </w:p>
        </w:tc>
      </w:tr>
      <w:tr w:rsidR="00795B8D" w:rsidRPr="00F31845" w14:paraId="363DE7C8" w14:textId="77777777" w:rsidTr="0051623D">
        <w:tc>
          <w:tcPr>
            <w:tcW w:w="4536" w:type="dxa"/>
          </w:tcPr>
          <w:p w14:paraId="56D4BDA1" w14:textId="77777777" w:rsidR="00795B8D" w:rsidRPr="00F31845" w:rsidRDefault="00795B8D" w:rsidP="0051623D">
            <w:pPr>
              <w:spacing w:before="200" w:after="200"/>
              <w:rPr>
                <w:rFonts w:eastAsia="Arial Unicode MS"/>
              </w:rPr>
            </w:pPr>
            <w:r w:rsidRPr="00F31845">
              <w:rPr>
                <w:noProof/>
              </w:rPr>
              <w:drawing>
                <wp:inline distT="0" distB="0" distL="0" distR="0" wp14:anchorId="0BB9992F" wp14:editId="5EB07E5B">
                  <wp:extent cx="2743200" cy="1543049"/>
                  <wp:effectExtent l="19050" t="19050" r="19050" b="1968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pic:nvPicPr>
                        <pic:blipFill>
                          <a:blip r:embed="rId13"/>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3A7BB0E4"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wird aufgezeigt, dass Fallstudien aufgrund ihrer zentralen Charakteristika geeignet sind, transferierbares negatives Wissen für reale Handlungs- und Entscheidungssituationen aufzubauen. Dies unterstützt die in myidea angelegte enge Verzahnung von Wissensaufbau und direkter Anwendung auf die eigene Idee. </w:t>
            </w:r>
          </w:p>
        </w:tc>
      </w:tr>
      <w:tr w:rsidR="00795B8D" w:rsidRPr="00F31845" w14:paraId="4233B824" w14:textId="77777777" w:rsidTr="0051623D">
        <w:tc>
          <w:tcPr>
            <w:tcW w:w="4536" w:type="dxa"/>
          </w:tcPr>
          <w:p w14:paraId="7FF1AC09" w14:textId="77777777" w:rsidR="00795B8D" w:rsidRPr="00F31845" w:rsidRDefault="00795B8D" w:rsidP="0051623D">
            <w:pPr>
              <w:spacing w:before="200" w:after="200"/>
              <w:ind w:left="34"/>
            </w:pPr>
            <w:r w:rsidRPr="00F31845">
              <w:rPr>
                <w:noProof/>
              </w:rPr>
              <w:drawing>
                <wp:inline distT="0" distB="0" distL="0" distR="0" wp14:anchorId="4135D9A3" wp14:editId="0DDFD46A">
                  <wp:extent cx="2743200" cy="1543049"/>
                  <wp:effectExtent l="19050" t="19050" r="19050" b="1968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pic:nvPicPr>
                        <pic:blipFill>
                          <a:blip r:embed="rId14"/>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7561C0F0"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Anhand der Studie von </w:t>
            </w:r>
            <w:proofErr w:type="spellStart"/>
            <w:r w:rsidRPr="00F31845">
              <w:rPr>
                <w:rFonts w:ascii="Century Gothic" w:eastAsia="Arial Unicode MS" w:hAnsi="Century Gothic"/>
                <w:bCs/>
                <w:sz w:val="16"/>
                <w:szCs w:val="16"/>
              </w:rPr>
              <w:t>Bledow</w:t>
            </w:r>
            <w:proofErr w:type="spellEnd"/>
            <w:r w:rsidRPr="00F31845">
              <w:rPr>
                <w:rFonts w:ascii="Century Gothic" w:eastAsia="Arial Unicode MS" w:hAnsi="Century Gothic"/>
                <w:bCs/>
                <w:sz w:val="16"/>
                <w:szCs w:val="16"/>
              </w:rPr>
              <w:t xml:space="preserve"> et al. (2016) wird aufgezeigt, dass Scheiternsgeschichten besonders gut geeignet sind, negatives Wissen aufzubauen und auf ähnliche Entscheidungssituationen anzuwenden.</w:t>
            </w:r>
          </w:p>
        </w:tc>
      </w:tr>
      <w:tr w:rsidR="00795B8D" w:rsidRPr="00F31845" w14:paraId="6F237C78" w14:textId="77777777" w:rsidTr="0051623D">
        <w:tc>
          <w:tcPr>
            <w:tcW w:w="4536" w:type="dxa"/>
          </w:tcPr>
          <w:p w14:paraId="552C07C8" w14:textId="77777777" w:rsidR="00795B8D" w:rsidRPr="00F31845" w:rsidRDefault="00795B8D" w:rsidP="0051623D">
            <w:pPr>
              <w:spacing w:before="200" w:after="200"/>
              <w:ind w:left="34"/>
            </w:pPr>
            <w:r w:rsidRPr="00F31845">
              <w:rPr>
                <w:noProof/>
              </w:rPr>
              <w:drawing>
                <wp:inline distT="0" distB="0" distL="0" distR="0" wp14:anchorId="5A52A5C2" wp14:editId="0389A37F">
                  <wp:extent cx="2743200" cy="1543049"/>
                  <wp:effectExtent l="19050" t="19050" r="19050" b="1968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pic:nvPicPr>
                        <pic:blipFill>
                          <a:blip r:embed="rId15"/>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1533612B" w14:textId="6672B02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Die Studie war als Experiment angelegt, mit zwei Gruppen von Studierenden, die beide ein Management-Training durchliefen, das auf der Arbeit mit Fallgeschichten basierte. Dabei sollten sich die Studierenden in die Perspektive des Managers eines Modegeschäfts versetzen und aufgrund der im Fall enthaltenen Informationen Entscheidungen treffen. Anschliessend fand das Management-Training auf der Basis von fünf aufeinanderfolgenden Fallgeschichten statt, die bearbeitet werden mussten. Die Fallgeschichten wurden mündlich präsentiert und waren von Folien begleitet, die jeweils die wichtigsten Inhalte zusammenfassten. In diese Geschichten waren zentrale Prinzipien des effektiven Managements eingebettet (z.</w:t>
            </w:r>
            <w:r w:rsidR="00411C37">
              <w:rPr>
                <w:rFonts w:ascii="Century Gothic" w:eastAsia="Arial Unicode MS" w:hAnsi="Century Gothic"/>
                <w:bCs/>
                <w:sz w:val="16"/>
                <w:szCs w:val="16"/>
              </w:rPr>
              <w:t> </w:t>
            </w:r>
            <w:r w:rsidRPr="00F31845">
              <w:rPr>
                <w:rFonts w:ascii="Century Gothic" w:eastAsia="Arial Unicode MS" w:hAnsi="Century Gothic"/>
                <w:bCs/>
                <w:sz w:val="16"/>
                <w:szCs w:val="16"/>
              </w:rPr>
              <w:t>B. Veränderungen erkennen, eine Marktanalyse durchführen, mit Konflikten umgehen). Die Fallgeschichten unterschieden sich lediglich in ihrer Valenz, d.</w:t>
            </w:r>
            <w:r w:rsidR="00411C37">
              <w:rPr>
                <w:rFonts w:ascii="Century Gothic" w:eastAsia="Arial Unicode MS" w:hAnsi="Century Gothic"/>
                <w:bCs/>
                <w:sz w:val="16"/>
                <w:szCs w:val="16"/>
              </w:rPr>
              <w:t> </w:t>
            </w:r>
            <w:r w:rsidRPr="00F31845">
              <w:rPr>
                <w:rFonts w:ascii="Century Gothic" w:eastAsia="Arial Unicode MS" w:hAnsi="Century Gothic"/>
                <w:bCs/>
                <w:sz w:val="16"/>
                <w:szCs w:val="16"/>
              </w:rPr>
              <w:t>h. eine Gruppe arbeitete mit Geschichten, die alle positiv verliefen (Erfolg), während die andere Gruppe mit Geschichten arbeitete, die negativ verliefen (Scheitern).</w:t>
            </w:r>
          </w:p>
        </w:tc>
      </w:tr>
      <w:tr w:rsidR="00795B8D" w:rsidRPr="00F31845" w14:paraId="72C2D1CB" w14:textId="77777777" w:rsidTr="0051623D">
        <w:tc>
          <w:tcPr>
            <w:tcW w:w="4536" w:type="dxa"/>
          </w:tcPr>
          <w:p w14:paraId="3F6AFD3B" w14:textId="77777777" w:rsidR="00795B8D" w:rsidRPr="00F31845" w:rsidRDefault="00795B8D" w:rsidP="0051623D">
            <w:pPr>
              <w:spacing w:before="200" w:after="200"/>
              <w:ind w:left="34"/>
            </w:pPr>
            <w:r w:rsidRPr="00F31845">
              <w:rPr>
                <w:noProof/>
              </w:rPr>
              <w:lastRenderedPageBreak/>
              <w:drawing>
                <wp:inline distT="0" distB="0" distL="0" distR="0" wp14:anchorId="3EA5605A" wp14:editId="2F256811">
                  <wp:extent cx="2743200" cy="1543049"/>
                  <wp:effectExtent l="19050" t="19050" r="19050" b="1968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pic:cNvPicPr/>
                        </pic:nvPicPr>
                        <pic:blipFill>
                          <a:blip r:embed="rId16"/>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0681A12B"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Die Studienergebnisse bestätigten alle drei Hypothesen.</w:t>
            </w:r>
          </w:p>
          <w:p w14:paraId="3610B534" w14:textId="10DE9BDB"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1. Scheiternsgeschichten werden tiefer verarbeitet (mehr elaboriert) als Erfolgsgeschichten</w:t>
            </w:r>
            <w:r w:rsidR="008E20CA">
              <w:rPr>
                <w:rFonts w:ascii="Century Gothic" w:eastAsia="Arial Unicode MS" w:hAnsi="Century Gothic"/>
                <w:bCs/>
                <w:sz w:val="16"/>
                <w:szCs w:val="16"/>
              </w:rPr>
              <w:t>.</w:t>
            </w:r>
          </w:p>
          <w:p w14:paraId="3A0469C7" w14:textId="470DECC3"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2. Das in Scheiternsgeschichten aufgebaute, elaboriertere Wissen wird eher in Transferaufgaben angewandt</w:t>
            </w:r>
            <w:r w:rsidR="008E20CA">
              <w:rPr>
                <w:rFonts w:ascii="Century Gothic" w:eastAsia="Arial Unicode MS" w:hAnsi="Century Gothic"/>
                <w:bCs/>
                <w:sz w:val="16"/>
                <w:szCs w:val="16"/>
              </w:rPr>
              <w:t>.</w:t>
            </w:r>
            <w:r w:rsidRPr="00F31845">
              <w:rPr>
                <w:rFonts w:ascii="Century Gothic" w:eastAsia="Arial Unicode MS" w:hAnsi="Century Gothic"/>
                <w:bCs/>
                <w:sz w:val="16"/>
                <w:szCs w:val="16"/>
              </w:rPr>
              <w:t xml:space="preserve"> </w:t>
            </w:r>
          </w:p>
          <w:p w14:paraId="565AC19F" w14:textId="7C40C443"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3. Scheiternsgeschichten zeigen bei Studierenden mit positiver Fehlerorientierung (= Fehler sind wichtig und nützlich fürs Lernen) eine stärkere Wirkung auf die Elaboration</w:t>
            </w:r>
            <w:r w:rsidR="008E20CA">
              <w:rPr>
                <w:rFonts w:ascii="Century Gothic" w:eastAsia="Arial Unicode MS" w:hAnsi="Century Gothic"/>
                <w:bCs/>
                <w:sz w:val="16"/>
                <w:szCs w:val="16"/>
              </w:rPr>
              <w:t>.</w:t>
            </w:r>
          </w:p>
        </w:tc>
      </w:tr>
      <w:tr w:rsidR="00795B8D" w:rsidRPr="00F31845" w14:paraId="33D553D1" w14:textId="77777777" w:rsidTr="0051623D">
        <w:tc>
          <w:tcPr>
            <w:tcW w:w="4536" w:type="dxa"/>
          </w:tcPr>
          <w:p w14:paraId="36F73B34" w14:textId="77777777" w:rsidR="00795B8D" w:rsidRPr="00F31845" w:rsidRDefault="00795B8D" w:rsidP="0051623D">
            <w:pPr>
              <w:spacing w:before="200" w:after="200"/>
              <w:ind w:left="34"/>
              <w:rPr>
                <w:rFonts w:eastAsia="Arial Unicode MS"/>
              </w:rPr>
            </w:pPr>
            <w:r w:rsidRPr="00F31845">
              <w:rPr>
                <w:noProof/>
              </w:rPr>
              <w:drawing>
                <wp:inline distT="0" distB="0" distL="0" distR="0" wp14:anchorId="45CCE4D2" wp14:editId="72212A6F">
                  <wp:extent cx="2743200" cy="1543049"/>
                  <wp:effectExtent l="19050" t="19050" r="19050" b="1968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08"/>
                          <pic:cNvPicPr/>
                        </pic:nvPicPr>
                        <pic:blipFill>
                          <a:blip r:embed="rId17"/>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45A70771" w14:textId="77777777"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wird dargelegt, dass der Aufbau von negativem Wissen im Kontext der Förderung von unternehmerischem Denken und Handeln dazu dient, mit den Lernenden zentrale </w:t>
            </w:r>
            <w:proofErr w:type="spellStart"/>
            <w:r w:rsidRPr="00F31845">
              <w:rPr>
                <w:rFonts w:ascii="Century Gothic" w:eastAsia="Arial Unicode MS" w:hAnsi="Century Gothic"/>
                <w:bCs/>
                <w:sz w:val="16"/>
                <w:szCs w:val="16"/>
              </w:rPr>
              <w:t>Scheiternsgefahren</w:t>
            </w:r>
            <w:proofErr w:type="spellEnd"/>
            <w:r w:rsidRPr="00F31845">
              <w:rPr>
                <w:rFonts w:ascii="Century Gothic" w:eastAsia="Arial Unicode MS" w:hAnsi="Century Gothic"/>
                <w:bCs/>
                <w:sz w:val="16"/>
                <w:szCs w:val="16"/>
              </w:rPr>
              <w:t xml:space="preserve"> zu bearbeiten. Die frühe Auseinandersetzung mit diesen Gefahren sensibilisiert die Lernenden dafür, dass sie bei der Entwicklung ihrer Geschäftsidee auf bestimmte Aspekte besonders </w:t>
            </w:r>
            <w:proofErr w:type="gramStart"/>
            <w:r w:rsidRPr="00F31845">
              <w:rPr>
                <w:rFonts w:ascii="Century Gothic" w:eastAsia="Arial Unicode MS" w:hAnsi="Century Gothic"/>
                <w:bCs/>
                <w:sz w:val="16"/>
                <w:szCs w:val="16"/>
              </w:rPr>
              <w:t>gut achten</w:t>
            </w:r>
            <w:proofErr w:type="gramEnd"/>
            <w:r w:rsidRPr="00F31845">
              <w:rPr>
                <w:rFonts w:ascii="Century Gothic" w:eastAsia="Arial Unicode MS" w:hAnsi="Century Gothic"/>
                <w:bCs/>
                <w:sz w:val="16"/>
                <w:szCs w:val="16"/>
              </w:rPr>
              <w:t xml:space="preserve"> müssen. </w:t>
            </w:r>
          </w:p>
        </w:tc>
      </w:tr>
      <w:tr w:rsidR="00795B8D" w:rsidRPr="00F31845" w14:paraId="5481AED9" w14:textId="77777777" w:rsidTr="0051623D">
        <w:tc>
          <w:tcPr>
            <w:tcW w:w="4536" w:type="dxa"/>
          </w:tcPr>
          <w:p w14:paraId="19FD43A2" w14:textId="77777777" w:rsidR="00795B8D" w:rsidRPr="00F31845" w:rsidRDefault="00795B8D" w:rsidP="0051623D">
            <w:pPr>
              <w:spacing w:before="200" w:after="200"/>
              <w:ind w:left="34"/>
            </w:pPr>
            <w:r w:rsidRPr="00F31845">
              <w:rPr>
                <w:noProof/>
              </w:rPr>
              <w:drawing>
                <wp:inline distT="0" distB="0" distL="0" distR="0" wp14:anchorId="39C7717A" wp14:editId="4764B327">
                  <wp:extent cx="2743200" cy="1543049"/>
                  <wp:effectExtent l="19050" t="19050" r="19050" b="1968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pic:nvPicPr>
                        <pic:blipFill>
                          <a:blip r:embed="rId18"/>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24185500" w14:textId="77777777"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werden Struktur und Inhalt der vier in myidea eingebauten Fallstudien erläutert. Die Fallstudien können vollständig oder in Teilen bearbeitet werden. Die aufeinander aufbauenden Texte können auch gekürzt oder medial anders aufbereitet dargeboten werden. </w:t>
            </w:r>
          </w:p>
        </w:tc>
      </w:tr>
      <w:tr w:rsidR="00795B8D" w:rsidRPr="00F31845" w14:paraId="5A30B95B" w14:textId="77777777" w:rsidTr="0051623D">
        <w:tc>
          <w:tcPr>
            <w:tcW w:w="4536" w:type="dxa"/>
          </w:tcPr>
          <w:p w14:paraId="0E1DB079" w14:textId="77777777" w:rsidR="00795B8D" w:rsidRPr="00F31845" w:rsidRDefault="00795B8D" w:rsidP="0051623D">
            <w:pPr>
              <w:spacing w:before="200" w:after="200"/>
              <w:ind w:left="34"/>
            </w:pPr>
            <w:r w:rsidRPr="00F31845">
              <w:rPr>
                <w:noProof/>
              </w:rPr>
              <w:drawing>
                <wp:inline distT="0" distB="0" distL="0" distR="0" wp14:anchorId="7C14B05C" wp14:editId="2CEDF735">
                  <wp:extent cx="2743200" cy="1543049"/>
                  <wp:effectExtent l="19050" t="19050" r="19050" b="1968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pic:nvPicPr>
                        <pic:blipFill>
                          <a:blip r:embed="rId19"/>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2407CC2E" w14:textId="41F8B15C"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 xml:space="preserve">Da die Verwendung von reinen Scheiternsgeschichten demotivierend wirken kann, behandeln zwei der Geschichten erfolgreiche Gründungen. Aufgrund der Aufgabenstellungen wird auch hier eine vertiefte Verarbeitung der Inhalte angeregt. So macht es </w:t>
            </w:r>
            <w:r w:rsidR="008E20CA">
              <w:rPr>
                <w:rFonts w:ascii="Century Gothic" w:eastAsia="Arial Unicode MS" w:hAnsi="Century Gothic"/>
                <w:bCs/>
                <w:sz w:val="16"/>
                <w:szCs w:val="16"/>
              </w:rPr>
              <w:t>beispielsweise</w:t>
            </w:r>
            <w:r w:rsidRPr="00F31845">
              <w:rPr>
                <w:rFonts w:ascii="Century Gothic" w:eastAsia="Arial Unicode MS" w:hAnsi="Century Gothic"/>
                <w:bCs/>
                <w:sz w:val="16"/>
                <w:szCs w:val="16"/>
              </w:rPr>
              <w:t xml:space="preserve"> einen Unterschied, ob einfach die erfolgreichen Marketingmassnahmen aufgezählt werden oder eben – wie hier – die genutzten Massnahmen analysiert und um weitere Massnahmen begründet ergänzt werden sollen. D.</w:t>
            </w:r>
            <w:r w:rsidR="008E20CA">
              <w:rPr>
                <w:rFonts w:ascii="Century Gothic" w:eastAsia="Arial Unicode MS" w:hAnsi="Century Gothic"/>
                <w:bCs/>
                <w:sz w:val="16"/>
                <w:szCs w:val="16"/>
              </w:rPr>
              <w:t> </w:t>
            </w:r>
            <w:r w:rsidRPr="00F31845">
              <w:rPr>
                <w:rFonts w:ascii="Century Gothic" w:eastAsia="Arial Unicode MS" w:hAnsi="Century Gothic"/>
                <w:bCs/>
                <w:sz w:val="16"/>
                <w:szCs w:val="16"/>
              </w:rPr>
              <w:t>h. auch hier werden Elaboration und Transfer gefördert.</w:t>
            </w:r>
          </w:p>
        </w:tc>
      </w:tr>
    </w:tbl>
    <w:p w14:paraId="6DFC2889" w14:textId="4E8E5AD0" w:rsidR="004B49C8" w:rsidRPr="00F31845" w:rsidRDefault="004B49C8" w:rsidP="00F337E1">
      <w:pPr>
        <w:spacing w:before="40" w:after="40" w:line="260" w:lineRule="exact"/>
        <w:ind w:left="357"/>
        <w:rPr>
          <w:rFonts w:eastAsia="Arial Unicode MS"/>
          <w:sz w:val="20"/>
          <w:szCs w:val="20"/>
        </w:rPr>
      </w:pPr>
    </w:p>
    <w:p w14:paraId="726BA564" w14:textId="77777777" w:rsidR="006F630F" w:rsidRPr="00F31845" w:rsidRDefault="006F630F" w:rsidP="006F630F"/>
    <w:sectPr w:rsidR="006F630F" w:rsidRPr="00F31845" w:rsidSect="00564E2A">
      <w:headerReference w:type="even" r:id="rId20"/>
      <w:headerReference w:type="default" r:id="rId21"/>
      <w:footerReference w:type="even" r:id="rId22"/>
      <w:footerReference w:type="default" r:id="rId23"/>
      <w:headerReference w:type="first" r:id="rId24"/>
      <w:footerReference w:type="first" r:id="rId25"/>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28149" w14:textId="77777777" w:rsidR="009E2F1A" w:rsidRDefault="009E2F1A">
      <w:r>
        <w:separator/>
      </w:r>
    </w:p>
  </w:endnote>
  <w:endnote w:type="continuationSeparator" w:id="0">
    <w:p w14:paraId="75E46A3F" w14:textId="77777777" w:rsidR="009E2F1A" w:rsidRDefault="009E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ED7B" w14:textId="77777777" w:rsidR="009E2F1A" w:rsidRDefault="009E2F1A">
      <w:r>
        <w:separator/>
      </w:r>
    </w:p>
  </w:footnote>
  <w:footnote w:type="continuationSeparator" w:id="0">
    <w:p w14:paraId="5EE9C1D0" w14:textId="77777777" w:rsidR="009E2F1A" w:rsidRDefault="009E2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14EF"/>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2F1A"/>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18D7"/>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4499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Eveline Gutzwiller</cp:lastModifiedBy>
  <cp:revision>3</cp:revision>
  <cp:lastPrinted>2017-02-11T12:58:00Z</cp:lastPrinted>
  <dcterms:created xsi:type="dcterms:W3CDTF">2021-07-01T14:00:00Z</dcterms:created>
  <dcterms:modified xsi:type="dcterms:W3CDTF">2021-07-01T14:01:00Z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