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4CA6A490"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proofErr w:type="spellStart"/>
      <w:r w:rsidR="00406A49" w:rsidRPr="00F31845">
        <w:rPr>
          <w:rFonts w:ascii="Century Gothic" w:hAnsi="Century Gothic"/>
          <w:b/>
          <w:sz w:val="32"/>
          <w:szCs w:val="32"/>
        </w:rPr>
        <w:t>Slides</w:t>
      </w:r>
      <w:proofErr w:type="spellEnd"/>
      <w:r w:rsidR="00406A49" w:rsidRPr="00F31845">
        <w:rPr>
          <w:rFonts w:ascii="Century Gothic" w:hAnsi="Century Gothic"/>
          <w:b/>
          <w:sz w:val="32"/>
          <w:szCs w:val="32"/>
        </w:rPr>
        <w:t xml:space="preserve"> </w:t>
      </w:r>
      <w:r w:rsidR="00A80478" w:rsidRPr="00F31845">
        <w:rPr>
          <w:rFonts w:ascii="Century Gothic" w:hAnsi="Century Gothic"/>
          <w:b/>
          <w:sz w:val="32"/>
          <w:szCs w:val="32"/>
        </w:rPr>
        <w:t>Lehrpersonen</w:t>
      </w:r>
    </w:p>
    <w:p w14:paraId="3B5E9752" w14:textId="3B6D532B" w:rsidR="005476A7" w:rsidRPr="00F31845" w:rsidRDefault="005476A7" w:rsidP="0023153E">
      <w:pPr>
        <w:spacing w:line="360" w:lineRule="auto"/>
        <w:jc w:val="center"/>
        <w:rPr>
          <w:rFonts w:ascii="Century Gothic" w:hAnsi="Century Gothic"/>
          <w:b/>
          <w:sz w:val="22"/>
          <w:szCs w:val="22"/>
        </w:rPr>
      </w:pPr>
    </w:p>
    <w:p w14:paraId="0FB5ACE4" w14:textId="25D66C48" w:rsidR="001B2C92" w:rsidRPr="00F31845" w:rsidRDefault="005476A7" w:rsidP="001B2C92">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1B2C92" w:rsidRPr="00F31845">
        <w:rPr>
          <w:rFonts w:ascii="Century Gothic" w:hAnsi="Century Gothic"/>
          <w:b/>
          <w:sz w:val="22"/>
          <w:szCs w:val="22"/>
        </w:rPr>
        <w:t xml:space="preserve"> 5: «</w:t>
      </w:r>
      <w:proofErr w:type="spellStart"/>
      <w:r w:rsidR="001B2C92" w:rsidRPr="00F31845">
        <w:rPr>
          <w:rFonts w:ascii="Century Gothic" w:hAnsi="Century Gothic"/>
          <w:b/>
          <w:sz w:val="22"/>
          <w:szCs w:val="22"/>
        </w:rPr>
        <w:t>Effectuation</w:t>
      </w:r>
      <w:proofErr w:type="spellEnd"/>
      <w:r w:rsidR="001B2C92" w:rsidRPr="00F31845">
        <w:rPr>
          <w:rFonts w:ascii="Century Gothic" w:hAnsi="Century Gothic"/>
          <w:b/>
          <w:sz w:val="22"/>
          <w:szCs w:val="22"/>
        </w:rPr>
        <w:t>» und «</w:t>
      </w:r>
      <w:proofErr w:type="spellStart"/>
      <w:r w:rsidR="001B2C92" w:rsidRPr="00F31845">
        <w:rPr>
          <w:rFonts w:ascii="Century Gothic" w:hAnsi="Century Gothic"/>
          <w:b/>
          <w:sz w:val="22"/>
          <w:szCs w:val="22"/>
        </w:rPr>
        <w:t>Causation</w:t>
      </w:r>
      <w:proofErr w:type="spellEnd"/>
      <w:r w:rsidR="001B2C92" w:rsidRPr="00F31845">
        <w:rPr>
          <w:rFonts w:ascii="Century Gothic" w:hAnsi="Century Gothic"/>
          <w:b/>
          <w:sz w:val="22"/>
          <w:szCs w:val="22"/>
        </w:rPr>
        <w:t xml:space="preserve">» </w:t>
      </w:r>
      <w:r w:rsidR="001B2C92" w:rsidRPr="00F31845">
        <w:rPr>
          <w:rFonts w:ascii="Century Gothic" w:hAnsi="Century Gothic"/>
          <w:b/>
          <w:bCs/>
          <w:sz w:val="22"/>
          <w:szCs w:val="22"/>
        </w:rPr>
        <w:t>–</w:t>
      </w:r>
      <w:r w:rsidR="001B2C92" w:rsidRPr="00F31845">
        <w:rPr>
          <w:rFonts w:ascii="Century Gothic" w:hAnsi="Century Gothic"/>
          <w:b/>
          <w:sz w:val="22"/>
          <w:szCs w:val="22"/>
        </w:rPr>
        <w:t xml:space="preserve"> Zwei verschiedene Entscheidungslogiken</w:t>
      </w:r>
    </w:p>
    <w:p w14:paraId="73470482" w14:textId="074C0FB2" w:rsidR="001B2C92" w:rsidRPr="00F31845" w:rsidRDefault="001B2C92" w:rsidP="001B2C92">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48E4D86B" w14:textId="77777777" w:rsidTr="00904C72">
        <w:tc>
          <w:tcPr>
            <w:tcW w:w="4536" w:type="dxa"/>
          </w:tcPr>
          <w:p w14:paraId="109723ED" w14:textId="0C02C668" w:rsidR="001B2C92" w:rsidRPr="00F31845" w:rsidRDefault="00202E59" w:rsidP="00904C72">
            <w:pPr>
              <w:spacing w:before="200" w:after="200"/>
              <w:rPr>
                <w:rFonts w:eastAsia="Arial Unicode MS"/>
              </w:rPr>
            </w:pPr>
            <w:bookmarkStart w:id="0" w:name="_Hlk68862035"/>
            <w:r>
              <w:rPr>
                <w:noProof/>
              </w:rPr>
              <w:drawing>
                <wp:anchor distT="0" distB="0" distL="114300" distR="114300" simplePos="0" relativeHeight="251659264" behindDoc="0" locked="0" layoutInCell="1" allowOverlap="1" wp14:anchorId="068A292F" wp14:editId="69ED4902">
                  <wp:simplePos x="0" y="0"/>
                  <wp:positionH relativeFrom="column">
                    <wp:posOffset>2291929</wp:posOffset>
                  </wp:positionH>
                  <wp:positionV relativeFrom="paragraph">
                    <wp:posOffset>247023</wp:posOffset>
                  </wp:positionV>
                  <wp:extent cx="367906" cy="17638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06" cy="176382"/>
                          </a:xfrm>
                          <a:prstGeom prst="rect">
                            <a:avLst/>
                          </a:prstGeom>
                          <a:noFill/>
                          <a:ln>
                            <a:noFill/>
                          </a:ln>
                        </pic:spPr>
                      </pic:pic>
                    </a:graphicData>
                  </a:graphic>
                  <wp14:sizeRelH relativeFrom="page">
                    <wp14:pctWidth>0</wp14:pctWidth>
                  </wp14:sizeRelH>
                  <wp14:sizeRelV relativeFrom="page">
                    <wp14:pctHeight>0</wp14:pctHeight>
                  </wp14:sizeRelV>
                </wp:anchor>
              </w:drawing>
            </w:r>
            <w:r w:rsidR="00062CD3" w:rsidRPr="00F31845">
              <w:rPr>
                <w:noProof/>
              </w:rPr>
              <w:drawing>
                <wp:inline distT="0" distB="0" distL="0" distR="0" wp14:anchorId="5AB4FF45" wp14:editId="6B32DDAF">
                  <wp:extent cx="2743200" cy="1543049"/>
                  <wp:effectExtent l="19050" t="19050" r="19050" b="196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pic:cNvPicPr/>
                        </pic:nvPicPr>
                        <pic:blipFill>
                          <a:blip r:embed="rId9"/>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727006C8" w14:textId="63EC4C3D" w:rsidR="001E74EA" w:rsidRPr="00F31845" w:rsidRDefault="001E74EA" w:rsidP="001E74EA">
            <w:pPr>
              <w:spacing w:before="120" w:after="40"/>
              <w:rPr>
                <w:rFonts w:ascii="Century Gothic" w:eastAsia="Arial Unicode MS" w:hAnsi="Century Gothic"/>
                <w:b/>
                <w:sz w:val="16"/>
                <w:szCs w:val="16"/>
              </w:rPr>
            </w:pPr>
            <w:r w:rsidRPr="00F31845">
              <w:rPr>
                <w:rFonts w:ascii="Century Gothic" w:eastAsia="Arial Unicode MS" w:hAnsi="Century Gothic"/>
                <w:b/>
                <w:sz w:val="16"/>
                <w:szCs w:val="16"/>
              </w:rPr>
              <w:t xml:space="preserve">Effectuation als </w:t>
            </w:r>
            <w:r w:rsidRPr="00F31845">
              <w:rPr>
                <w:rFonts w:ascii="Century Gothic" w:eastAsia="Arial Unicode MS" w:hAnsi="Century Gothic"/>
                <w:b/>
                <w:sz w:val="16"/>
                <w:szCs w:val="16"/>
                <w:u w:val="single"/>
              </w:rPr>
              <w:t>die</w:t>
            </w:r>
            <w:r w:rsidRPr="00F31845">
              <w:rPr>
                <w:rFonts w:ascii="Century Gothic" w:eastAsia="Arial Unicode MS" w:hAnsi="Century Gothic"/>
                <w:b/>
                <w:sz w:val="16"/>
                <w:szCs w:val="16"/>
              </w:rPr>
              <w:t xml:space="preserve"> unternehmerische Methode</w:t>
            </w:r>
          </w:p>
          <w:p w14:paraId="1149F253" w14:textId="0E250AC6"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Unternehmerisches Denken und Handeln findet, gerade wenn es um die Entwicklung von innovativen Vorhaben geht, immer unter Unsicherheit statt. Planungen und Vorhersagen ausschliesslich aufgrund von Erfahrungswerten sind daher zum Scheitern verurteilt. «Effectuation»-Logiken helfen unter Unsicherheit handlungsfähig zu bleiben.</w:t>
            </w:r>
          </w:p>
          <w:p w14:paraId="5CE2089B"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Ziele dieser Sequenz:</w:t>
            </w:r>
          </w:p>
          <w:p w14:paraId="667113D3" w14:textId="23114644" w:rsidR="001B2C92" w:rsidRPr="00F31845" w:rsidRDefault="001B2C92" w:rsidP="00957FC0">
            <w:pPr>
              <w:numPr>
                <w:ilvl w:val="0"/>
                <w:numId w:val="7"/>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Lehrpersonen können die Bedeutung von Effectuation-Logiken erläutern und sie </w:t>
            </w:r>
            <w:r w:rsidR="00581620" w:rsidRPr="00F31845">
              <w:rPr>
                <w:rFonts w:ascii="Century Gothic" w:eastAsia="Arial Unicode MS" w:hAnsi="Century Gothic"/>
                <w:sz w:val="16"/>
                <w:szCs w:val="16"/>
              </w:rPr>
              <w:t>von</w:t>
            </w:r>
            <w:r w:rsidRPr="00F31845">
              <w:rPr>
                <w:rFonts w:ascii="Century Gothic" w:eastAsia="Arial Unicode MS" w:hAnsi="Century Gothic"/>
                <w:sz w:val="16"/>
                <w:szCs w:val="16"/>
              </w:rPr>
              <w:t xml:space="preserve"> Causation-Logiken abgrenzen.</w:t>
            </w:r>
          </w:p>
          <w:p w14:paraId="1B12669D" w14:textId="5E93DCB0" w:rsidR="001B2C92" w:rsidRPr="00F31845" w:rsidRDefault="001B2C92" w:rsidP="00957FC0">
            <w:pPr>
              <w:numPr>
                <w:ilvl w:val="0"/>
                <w:numId w:val="7"/>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Lehrpersonen können die vier Effectuation-Heuristiken sowie das übergreifende Effectuation-Prinzip (Pilot</w:t>
            </w:r>
            <w:r w:rsidR="00581620" w:rsidRPr="00F31845">
              <w:rPr>
                <w:rFonts w:ascii="Century Gothic" w:eastAsia="Arial Unicode MS" w:hAnsi="Century Gothic"/>
                <w:sz w:val="16"/>
                <w:szCs w:val="16"/>
              </w:rPr>
              <w:t>-</w:t>
            </w:r>
            <w:r w:rsidR="0090297A" w:rsidRPr="00F31845">
              <w:rPr>
                <w:rFonts w:ascii="Century Gothic" w:eastAsia="Arial Unicode MS" w:hAnsi="Century Gothic"/>
                <w:sz w:val="16"/>
                <w:szCs w:val="16"/>
              </w:rPr>
              <w:t>im</w:t>
            </w:r>
            <w:r w:rsidR="00581620" w:rsidRPr="00F31845">
              <w:rPr>
                <w:rFonts w:ascii="Century Gothic" w:eastAsia="Arial Unicode MS" w:hAnsi="Century Gothic"/>
                <w:sz w:val="16"/>
                <w:szCs w:val="16"/>
              </w:rPr>
              <w:t>-</w:t>
            </w:r>
            <w:r w:rsidR="0090297A" w:rsidRPr="00F31845">
              <w:rPr>
                <w:rFonts w:ascii="Century Gothic" w:eastAsia="Arial Unicode MS" w:hAnsi="Century Gothic"/>
                <w:sz w:val="16"/>
                <w:szCs w:val="16"/>
              </w:rPr>
              <w:t>Flugzeug-Prinzip</w:t>
            </w:r>
            <w:r w:rsidRPr="00F31845">
              <w:rPr>
                <w:rFonts w:ascii="Century Gothic" w:eastAsia="Arial Unicode MS" w:hAnsi="Century Gothic"/>
                <w:sz w:val="16"/>
                <w:szCs w:val="16"/>
              </w:rPr>
              <w:t>) erläutern.</w:t>
            </w:r>
          </w:p>
          <w:p w14:paraId="2BF74A29" w14:textId="77777777" w:rsidR="001B2C92" w:rsidRPr="00F31845" w:rsidRDefault="001B2C92" w:rsidP="00957FC0">
            <w:pPr>
              <w:numPr>
                <w:ilvl w:val="0"/>
                <w:numId w:val="7"/>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Lehrpersonen können die vier Effectuation-Heuristiken flexibel im myidea-Programm berücksichtigen und anwenden.</w:t>
            </w:r>
          </w:p>
        </w:tc>
      </w:tr>
      <w:tr w:rsidR="001B2C92" w:rsidRPr="00F31845" w14:paraId="26F58124" w14:textId="77777777" w:rsidTr="00904C72">
        <w:tc>
          <w:tcPr>
            <w:tcW w:w="4536" w:type="dxa"/>
          </w:tcPr>
          <w:p w14:paraId="0E4F4C54"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70F59AEC" wp14:editId="613EB48F">
                  <wp:extent cx="2729653" cy="1535430"/>
                  <wp:effectExtent l="19050" t="19050" r="13970" b="266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10"/>
                          <a:stretch>
                            <a:fillRect/>
                          </a:stretch>
                        </pic:blipFill>
                        <pic:spPr bwMode="auto">
                          <a:xfrm>
                            <a:off x="0" y="0"/>
                            <a:ext cx="2729653" cy="1535430"/>
                          </a:xfrm>
                          <a:prstGeom prst="rect">
                            <a:avLst/>
                          </a:prstGeom>
                          <a:noFill/>
                          <a:ln>
                            <a:solidFill>
                              <a:schemeClr val="tx1"/>
                            </a:solidFill>
                          </a:ln>
                        </pic:spPr>
                      </pic:pic>
                    </a:graphicData>
                  </a:graphic>
                </wp:inline>
              </w:drawing>
            </w:r>
          </w:p>
        </w:tc>
        <w:tc>
          <w:tcPr>
            <w:tcW w:w="4820" w:type="dxa"/>
          </w:tcPr>
          <w:p w14:paraId="132FE29F"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Ein effektiver Einstieg in das Thema besteht darin, beide Methoden – Effectuation und Causation – erfahrbar zu machen.</w:t>
            </w:r>
          </w:p>
          <w:p w14:paraId="2F15B8C4" w14:textId="698632D0"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b/>
                <w:sz w:val="16"/>
                <w:szCs w:val="16"/>
              </w:rPr>
              <w:t>Beispiel:</w:t>
            </w:r>
            <w:r w:rsidRPr="00F31845">
              <w:rPr>
                <w:rFonts w:ascii="Century Gothic" w:eastAsia="Arial Unicode MS" w:hAnsi="Century Gothic"/>
                <w:sz w:val="16"/>
                <w:szCs w:val="16"/>
              </w:rPr>
              <w:t xml:space="preserve"> Es werden Teams gebildet, die jeweils 10 Minuten Zeit haben, um ein Puzzle zu lösen. Anschliessend hat jedes Team 10 Minuten Zeit, um aus Stoffstücken (Alternative: Lego-Bausteine oder Plus-Plus-Bausteine) etwas zu kreieren. Dabei gibt es keine Vorgaben darüber, in welche Richtung es geht. Es wird einfach nur gesagt, dass das beste Ergebnis (</w:t>
            </w:r>
            <w:r w:rsidR="00581620" w:rsidRPr="00F31845">
              <w:rPr>
                <w:rFonts w:ascii="Century Gothic" w:eastAsia="Arial Unicode MS" w:hAnsi="Century Gothic"/>
                <w:sz w:val="16"/>
                <w:szCs w:val="16"/>
              </w:rPr>
              <w:t>z. B</w:t>
            </w:r>
            <w:r w:rsidRPr="00F31845">
              <w:rPr>
                <w:rFonts w:ascii="Century Gothic" w:eastAsia="Arial Unicode MS" w:hAnsi="Century Gothic"/>
                <w:sz w:val="16"/>
                <w:szCs w:val="16"/>
              </w:rPr>
              <w:t>. vom Multiplikatoren-Team) prämiert wird. Auch für das schnellste Puzzle-Team gibt es einen Preis.</w:t>
            </w:r>
          </w:p>
          <w:p w14:paraId="6F5E0A39"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Im Anschluss an die Übung werden die Unterschiede diskutiert. Die Diskussion kann mit einer offenen Frage gestartet werden: «Worin unterscheiden sich die beiden Ansätze»? </w:t>
            </w:r>
          </w:p>
          <w:p w14:paraId="05BB1071"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folgenden Erkenntnisse sollten aus der Diskussion resultieren: Der Ausgang des Puzzles ist immer der gleiche. Es geht «nur» darum, wie schnell oder effizient der Weg zur Lösung organisiert wird. Hier gibt es Best Practices: Ein Team, das die Rollen gut aufteilt oder gute Taktiken entwickelt (</w:t>
            </w:r>
            <w:r w:rsidRPr="00F31845">
              <w:rPr>
                <w:rFonts w:ascii="Century Gothic" w:hAnsi="Century Gothic" w:cstheme="minorHAnsi"/>
                <w:sz w:val="16"/>
                <w:szCs w:val="16"/>
              </w:rPr>
              <w:t>wie beispielsweise das Sortieren nach Rändern und Farben</w:t>
            </w:r>
            <w:r w:rsidRPr="00F31845">
              <w:rPr>
                <w:rFonts w:ascii="Century Gothic" w:eastAsia="Arial Unicode MS" w:hAnsi="Century Gothic"/>
                <w:sz w:val="16"/>
                <w:szCs w:val="16"/>
              </w:rPr>
              <w:t xml:space="preserve">), wird besser abschneiden als ein Team, das dies nicht tut. </w:t>
            </w:r>
          </w:p>
          <w:p w14:paraId="74726988"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Dagegen ist der Ausgang der Effectuation-Übung ungewiss und hängt von den Ausgangsressourcen und den Vorlieben und Ressourcen des Teams ab. Hier sind echte Innovationen möglich.</w:t>
            </w:r>
          </w:p>
          <w:p w14:paraId="6447863B"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hAnsi="Century Gothic" w:cstheme="minorHAnsi"/>
                <w:sz w:val="16"/>
                <w:szCs w:val="16"/>
              </w:rPr>
              <w:t>Auch wenn das Thema «Effectuation» kein Bestandteil des myidea-Programms ist: Es spricht nichts dagegen, das Thema auch mit den Lernenden zu behandeln, wenn die Zeit dafür vorhanden ist.</w:t>
            </w:r>
          </w:p>
        </w:tc>
      </w:tr>
      <w:tr w:rsidR="001B2C92" w:rsidRPr="00F31845" w14:paraId="77B883A1" w14:textId="77777777" w:rsidTr="00904C72">
        <w:tc>
          <w:tcPr>
            <w:tcW w:w="4536" w:type="dxa"/>
          </w:tcPr>
          <w:p w14:paraId="336817A6"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13913681" wp14:editId="01982FE8">
                  <wp:extent cx="2731911" cy="1536700"/>
                  <wp:effectExtent l="19050" t="19050" r="11430" b="2540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11"/>
                          <a:stretch>
                            <a:fillRect/>
                          </a:stretch>
                        </pic:blipFill>
                        <pic:spPr bwMode="auto">
                          <a:xfrm>
                            <a:off x="0" y="0"/>
                            <a:ext cx="2731911" cy="1536700"/>
                          </a:xfrm>
                          <a:prstGeom prst="rect">
                            <a:avLst/>
                          </a:prstGeom>
                          <a:noFill/>
                          <a:ln>
                            <a:solidFill>
                              <a:schemeClr val="tx1"/>
                            </a:solidFill>
                          </a:ln>
                        </pic:spPr>
                      </pic:pic>
                    </a:graphicData>
                  </a:graphic>
                </wp:inline>
              </w:drawing>
            </w:r>
          </w:p>
        </w:tc>
        <w:tc>
          <w:tcPr>
            <w:tcW w:w="4820" w:type="dxa"/>
          </w:tcPr>
          <w:p w14:paraId="3B5FFF6A" w14:textId="77777777" w:rsidR="001B2C92" w:rsidRPr="00F31845" w:rsidRDefault="001B2C92" w:rsidP="001E74EA">
            <w:pPr>
              <w:spacing w:before="120" w:after="40"/>
              <w:rPr>
                <w:rFonts w:ascii="Century Gothic" w:hAnsi="Century Gothic" w:cstheme="minorHAnsi"/>
                <w:sz w:val="16"/>
                <w:szCs w:val="16"/>
              </w:rPr>
            </w:pPr>
            <w:r w:rsidRPr="00F31845">
              <w:rPr>
                <w:rFonts w:ascii="Century Gothic" w:hAnsi="Century Gothic" w:cstheme="minorHAnsi"/>
                <w:sz w:val="16"/>
                <w:szCs w:val="16"/>
              </w:rPr>
              <w:t xml:space="preserve">Die Wissenschaftlerin Saras Sarasvathy, kann als «Entdeckerin» der Effectuation-Logik bezeichnet werden. Zunächst hat sie, gemeinsam mit anderen Forschenden, vergleichende Studien mit erfahrenen EntrepreneurInnen und Management-Studierenden durchgeführt, später auch </w:t>
            </w:r>
            <w:proofErr w:type="gramStart"/>
            <w:r w:rsidRPr="00F31845">
              <w:rPr>
                <w:rFonts w:ascii="Century Gothic" w:hAnsi="Century Gothic" w:cstheme="minorHAnsi"/>
                <w:sz w:val="16"/>
                <w:szCs w:val="16"/>
              </w:rPr>
              <w:t>mit ManagerInnen</w:t>
            </w:r>
            <w:proofErr w:type="gramEnd"/>
            <w:r w:rsidRPr="00F31845">
              <w:rPr>
                <w:rFonts w:ascii="Century Gothic" w:hAnsi="Century Gothic" w:cstheme="minorHAnsi"/>
                <w:sz w:val="16"/>
                <w:szCs w:val="16"/>
              </w:rPr>
              <w:t>.</w:t>
            </w:r>
          </w:p>
          <w:p w14:paraId="6CD6639E" w14:textId="77777777" w:rsidR="001B2C92" w:rsidRPr="00F31845" w:rsidRDefault="001B2C92" w:rsidP="001E74EA">
            <w:pPr>
              <w:spacing w:before="120" w:after="40"/>
              <w:rPr>
                <w:rFonts w:ascii="Century Gothic" w:hAnsi="Century Gothic" w:cstheme="minorHAnsi"/>
                <w:sz w:val="16"/>
                <w:szCs w:val="16"/>
              </w:rPr>
            </w:pPr>
            <w:r w:rsidRPr="00F31845">
              <w:rPr>
                <w:rFonts w:ascii="Century Gothic" w:hAnsi="Century Gothic" w:cstheme="minorHAnsi"/>
                <w:sz w:val="16"/>
                <w:szCs w:val="16"/>
              </w:rPr>
              <w:t xml:space="preserve">Alternativ oder als Ergänzung zur eigenen Erläuterung der Folie kann dieses englischsprachige Video gezeigt werden: </w:t>
            </w:r>
            <w:hyperlink r:id="rId12" w:history="1">
              <w:r w:rsidRPr="00F31845">
                <w:rPr>
                  <w:rStyle w:val="Hyperlink"/>
                  <w:rFonts w:ascii="Century Gothic" w:hAnsi="Century Gothic" w:cstheme="minorHAnsi"/>
                  <w:sz w:val="16"/>
                  <w:szCs w:val="16"/>
                </w:rPr>
                <w:t>https://www.youtube.com/watch?v=Ruvb_kGAMYw&amp;t=1s</w:t>
              </w:r>
            </w:hyperlink>
            <w:r w:rsidRPr="00F31845">
              <w:rPr>
                <w:rFonts w:ascii="Century Gothic" w:hAnsi="Century Gothic" w:cstheme="minorHAnsi"/>
                <w:sz w:val="16"/>
                <w:szCs w:val="16"/>
              </w:rPr>
              <w:t xml:space="preserve"> Hier erklärt Saras Sarasvathy selbst die Erkenntnisse aus ihren Studien.</w:t>
            </w:r>
          </w:p>
        </w:tc>
      </w:tr>
      <w:tr w:rsidR="001B2C92" w:rsidRPr="00F31845" w14:paraId="136E333B" w14:textId="77777777" w:rsidTr="00904C72">
        <w:tc>
          <w:tcPr>
            <w:tcW w:w="4536" w:type="dxa"/>
          </w:tcPr>
          <w:p w14:paraId="7C9EB298"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1696DDB3" wp14:editId="34F9D25D">
                  <wp:extent cx="2736215" cy="1539120"/>
                  <wp:effectExtent l="19050" t="19050" r="26035" b="2349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3"/>
                          <a:stretch>
                            <a:fillRect/>
                          </a:stretch>
                        </pic:blipFill>
                        <pic:spPr bwMode="auto">
                          <a:xfrm>
                            <a:off x="0" y="0"/>
                            <a:ext cx="2736215" cy="1539120"/>
                          </a:xfrm>
                          <a:prstGeom prst="rect">
                            <a:avLst/>
                          </a:prstGeom>
                          <a:noFill/>
                          <a:ln>
                            <a:solidFill>
                              <a:schemeClr val="tx1"/>
                            </a:solidFill>
                          </a:ln>
                        </pic:spPr>
                      </pic:pic>
                    </a:graphicData>
                  </a:graphic>
                </wp:inline>
              </w:drawing>
            </w:r>
          </w:p>
        </w:tc>
        <w:tc>
          <w:tcPr>
            <w:tcW w:w="4820" w:type="dxa"/>
          </w:tcPr>
          <w:p w14:paraId="6F365BD7"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Nachdem die Unterschiede der beiden Ansätze erfahrbar gemacht und die Hintergründe der empirischen Studien dargestellt wurden, wird hier der Unterschied zwischen Causation und Effectuation auf konzeptioneller Ebene dargestellt. So erhalten die Lehrpersonen verschiedene Zugänge zum Konzept.</w:t>
            </w:r>
          </w:p>
        </w:tc>
      </w:tr>
      <w:tr w:rsidR="001B2C92" w:rsidRPr="00F31845" w14:paraId="1916C996" w14:textId="77777777" w:rsidTr="00904C72">
        <w:tc>
          <w:tcPr>
            <w:tcW w:w="4536" w:type="dxa"/>
          </w:tcPr>
          <w:p w14:paraId="05B0161C"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5C307A1" wp14:editId="230B3CA1">
                  <wp:extent cx="2743200" cy="1543049"/>
                  <wp:effectExtent l="19050" t="19050" r="19050" b="196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14"/>
                          <a:stretch>
                            <a:fillRect/>
                          </a:stretch>
                        </pic:blipFill>
                        <pic:spPr bwMode="auto">
                          <a:xfrm>
                            <a:off x="0" y="0"/>
                            <a:ext cx="2743200" cy="1543049"/>
                          </a:xfrm>
                          <a:prstGeom prst="rect">
                            <a:avLst/>
                          </a:prstGeom>
                          <a:noFill/>
                          <a:ln>
                            <a:solidFill>
                              <a:schemeClr val="tx1"/>
                            </a:solidFill>
                          </a:ln>
                        </pic:spPr>
                      </pic:pic>
                    </a:graphicData>
                  </a:graphic>
                </wp:inline>
              </w:drawing>
            </w:r>
          </w:p>
        </w:tc>
        <w:tc>
          <w:tcPr>
            <w:tcW w:w="4820" w:type="dxa"/>
          </w:tcPr>
          <w:p w14:paraId="4F4CE213" w14:textId="3C65973E"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Das Prinzip lässt sich auch auf ein Alltagsphänomen übertragen: Kocht man eher nach Rezept (Causation-Logik) oder schaut man einfach was da ist (Effectuation-Logik)</w:t>
            </w:r>
            <w:r w:rsidR="00410D6B" w:rsidRPr="00F31845">
              <w:rPr>
                <w:rFonts w:ascii="Century Gothic" w:eastAsia="Arial Unicode MS" w:hAnsi="Century Gothic"/>
                <w:sz w:val="16"/>
                <w:szCs w:val="16"/>
              </w:rPr>
              <w:t xml:space="preserve"> und beginnt dann zu kochen</w:t>
            </w:r>
            <w:r w:rsidRPr="00F31845">
              <w:rPr>
                <w:rFonts w:ascii="Century Gothic" w:eastAsia="Arial Unicode MS" w:hAnsi="Century Gothic"/>
                <w:sz w:val="16"/>
                <w:szCs w:val="16"/>
              </w:rPr>
              <w:t>?</w:t>
            </w:r>
          </w:p>
          <w:p w14:paraId="5389CBB1"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In der Interaktion mit den Lehrpersonen kann man beispielsweise mit einer Abstimmung beginnen: Wer kocht nach Rezept? Wer in Abhängigkeit der Vorräte? Wer macht beides je nach Situation?</w:t>
            </w:r>
          </w:p>
          <w:p w14:paraId="68582881"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An dieser Stelle kann betont werden, dass beide Ansätze ihre Berechtigung haben: Effectuation eignet sich eher für Handeln unter Unsicherheit, Causation kann angewandt werden, wenn Planungen und Vorhersagen aufgrund von vorherigen Erfahrungen sinnvoll sind.</w:t>
            </w:r>
          </w:p>
        </w:tc>
      </w:tr>
      <w:tr w:rsidR="001B2C92" w:rsidRPr="00F31845" w14:paraId="5635E4A3" w14:textId="77777777" w:rsidTr="00904C72">
        <w:tc>
          <w:tcPr>
            <w:tcW w:w="4536" w:type="dxa"/>
          </w:tcPr>
          <w:p w14:paraId="1A40487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3F1EB06" wp14:editId="02E88E0F">
                  <wp:extent cx="2736850" cy="1539478"/>
                  <wp:effectExtent l="19050" t="19050" r="25400" b="2286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5"/>
                          <a:stretch>
                            <a:fillRect/>
                          </a:stretch>
                        </pic:blipFill>
                        <pic:spPr bwMode="auto">
                          <a:xfrm>
                            <a:off x="0" y="0"/>
                            <a:ext cx="2736850" cy="1539478"/>
                          </a:xfrm>
                          <a:prstGeom prst="rect">
                            <a:avLst/>
                          </a:prstGeom>
                          <a:noFill/>
                          <a:ln>
                            <a:solidFill>
                              <a:schemeClr val="tx1"/>
                            </a:solidFill>
                          </a:ln>
                        </pic:spPr>
                      </pic:pic>
                    </a:graphicData>
                  </a:graphic>
                </wp:inline>
              </w:drawing>
            </w:r>
          </w:p>
        </w:tc>
        <w:tc>
          <w:tcPr>
            <w:tcW w:w="4820" w:type="dxa"/>
          </w:tcPr>
          <w:p w14:paraId="2F2920A7"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In empirischen Studien haben Saras Sarasvathy und andere Forschende vier Heuristiken und ein übergreifendes Prinzip erkannt, die von erfahrenen Entrepreneurinnen und Entrepreneuren genutzt werden. Diese machen deutlich wie Effectuation konkret umgesetzt wird.</w:t>
            </w:r>
          </w:p>
          <w:p w14:paraId="57D66036" w14:textId="20680429"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Diese Erkenntnisse sind aber – wie alle wissenschaftlichen Erkenntnisse – nicht abschliessend. Es kann durchaus sein, dass zukünftig weitere Prinzipien identifiziert werden oder sich vorhanden Prinzipien in zukünftigen Studien nicht im gleichen Masse bestätigen.</w:t>
            </w:r>
          </w:p>
        </w:tc>
      </w:tr>
      <w:tr w:rsidR="001B2C92" w:rsidRPr="00F31845" w14:paraId="7C9CEEDD" w14:textId="77777777" w:rsidTr="00904C72">
        <w:tc>
          <w:tcPr>
            <w:tcW w:w="4536" w:type="dxa"/>
          </w:tcPr>
          <w:p w14:paraId="6C912611"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7A294EA0" wp14:editId="153C6F26">
                  <wp:extent cx="2743200" cy="1543049"/>
                  <wp:effectExtent l="19050" t="19050" r="19050" b="196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16"/>
                          <a:stretch>
                            <a:fillRect/>
                          </a:stretch>
                        </pic:blipFill>
                        <pic:spPr bwMode="auto">
                          <a:xfrm>
                            <a:off x="0" y="0"/>
                            <a:ext cx="2743200" cy="1543049"/>
                          </a:xfrm>
                          <a:prstGeom prst="rect">
                            <a:avLst/>
                          </a:prstGeom>
                          <a:noFill/>
                          <a:ln>
                            <a:solidFill>
                              <a:schemeClr val="tx1"/>
                            </a:solidFill>
                          </a:ln>
                        </pic:spPr>
                      </pic:pic>
                    </a:graphicData>
                  </a:graphic>
                </wp:inline>
              </w:drawing>
            </w:r>
          </w:p>
        </w:tc>
        <w:tc>
          <w:tcPr>
            <w:tcW w:w="4820" w:type="dxa"/>
          </w:tcPr>
          <w:p w14:paraId="176E46C0"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Im Folgenden wird nun jeweils ein Effectuation-Prinzip erläutert, bevor dann auf der darauffolgenden Seite Ideen aufgeführt werden, wie die Prinzipien flexibel während der Umsetzung von myidea ausprobiert werden können. Dabei sind die Ideen zur Umsetzung keinesfalls abschliessend.</w:t>
            </w:r>
          </w:p>
        </w:tc>
      </w:tr>
      <w:tr w:rsidR="001B2C92" w:rsidRPr="00F31845" w14:paraId="77190469" w14:textId="77777777" w:rsidTr="00904C72">
        <w:tc>
          <w:tcPr>
            <w:tcW w:w="4536" w:type="dxa"/>
          </w:tcPr>
          <w:p w14:paraId="2B84A08D"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0EDF4152" wp14:editId="47935F1C">
                  <wp:extent cx="2743200" cy="1543049"/>
                  <wp:effectExtent l="19050" t="19050" r="19050" b="196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7"/>
                          <a:stretch>
                            <a:fillRect/>
                          </a:stretch>
                        </pic:blipFill>
                        <pic:spPr bwMode="auto">
                          <a:xfrm>
                            <a:off x="0" y="0"/>
                            <a:ext cx="2743200" cy="1543049"/>
                          </a:xfrm>
                          <a:prstGeom prst="rect">
                            <a:avLst/>
                          </a:prstGeom>
                          <a:noFill/>
                          <a:ln>
                            <a:solidFill>
                              <a:schemeClr val="tx1"/>
                            </a:solidFill>
                          </a:ln>
                        </pic:spPr>
                      </pic:pic>
                    </a:graphicData>
                  </a:graphic>
                </wp:inline>
              </w:drawing>
            </w:r>
          </w:p>
        </w:tc>
        <w:tc>
          <w:tcPr>
            <w:tcW w:w="4820" w:type="dxa"/>
          </w:tcPr>
          <w:p w14:paraId="1A101C43" w14:textId="6832F3C4"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Das «Spatz</w:t>
            </w:r>
            <w:r w:rsidR="009050FC">
              <w:rPr>
                <w:rFonts w:ascii="Century Gothic" w:eastAsia="Arial Unicode MS" w:hAnsi="Century Gothic"/>
                <w:sz w:val="16"/>
                <w:szCs w:val="16"/>
              </w:rPr>
              <w:t>-</w:t>
            </w:r>
            <w:r w:rsidRPr="00F31845">
              <w:rPr>
                <w:rFonts w:ascii="Century Gothic" w:eastAsia="Arial Unicode MS" w:hAnsi="Century Gothic"/>
                <w:sz w:val="16"/>
                <w:szCs w:val="16"/>
              </w:rPr>
              <w:t>in</w:t>
            </w:r>
            <w:r w:rsidR="009050FC">
              <w:rPr>
                <w:rFonts w:ascii="Century Gothic" w:eastAsia="Arial Unicode MS" w:hAnsi="Century Gothic"/>
                <w:sz w:val="16"/>
                <w:szCs w:val="16"/>
              </w:rPr>
              <w:t>-</w:t>
            </w:r>
            <w:r w:rsidRPr="00F31845">
              <w:rPr>
                <w:rFonts w:ascii="Century Gothic" w:eastAsia="Arial Unicode MS" w:hAnsi="Century Gothic"/>
                <w:sz w:val="16"/>
                <w:szCs w:val="16"/>
              </w:rPr>
              <w:t>der</w:t>
            </w:r>
            <w:r w:rsidR="009050FC">
              <w:rPr>
                <w:rFonts w:ascii="Century Gothic" w:eastAsia="Arial Unicode MS" w:hAnsi="Century Gothic"/>
                <w:sz w:val="16"/>
                <w:szCs w:val="16"/>
              </w:rPr>
              <w:t>-</w:t>
            </w:r>
            <w:r w:rsidRPr="00F31845">
              <w:rPr>
                <w:rFonts w:ascii="Century Gothic" w:eastAsia="Arial Unicode MS" w:hAnsi="Century Gothic"/>
                <w:sz w:val="16"/>
                <w:szCs w:val="16"/>
              </w:rPr>
              <w:t xml:space="preserve">Hand-Prinzip» ist ein Grund, weshalb </w:t>
            </w:r>
            <w:r w:rsidRPr="00F31845">
              <w:rPr>
                <w:rFonts w:ascii="Century Gothic" w:eastAsia="Arial Unicode MS" w:hAnsi="Century Gothic"/>
                <w:iCs/>
                <w:sz w:val="16"/>
                <w:szCs w:val="16"/>
              </w:rPr>
              <w:t>myidea</w:t>
            </w:r>
            <w:r w:rsidRPr="00F31845">
              <w:rPr>
                <w:rFonts w:ascii="Century Gothic" w:eastAsia="Arial Unicode MS" w:hAnsi="Century Gothic"/>
                <w:sz w:val="16"/>
                <w:szCs w:val="16"/>
              </w:rPr>
              <w:t xml:space="preserve"> gerade auch von schwächeren Lernenden genutzt werden kann: Eine unternehmerische Idee kann eben immer auf den eigenen Stärken aufbauen und für die Aspekte, die man selbst weniger gut erfüllen kann, darf man Partner</w:t>
            </w:r>
            <w:r w:rsidR="009050FC">
              <w:rPr>
                <w:rFonts w:ascii="Century Gothic" w:eastAsia="Arial Unicode MS" w:hAnsi="Century Gothic"/>
                <w:sz w:val="16"/>
                <w:szCs w:val="16"/>
              </w:rPr>
              <w:t>Innen</w:t>
            </w:r>
            <w:r w:rsidRPr="00F31845">
              <w:rPr>
                <w:rFonts w:ascii="Century Gothic" w:eastAsia="Arial Unicode MS" w:hAnsi="Century Gothic"/>
                <w:sz w:val="16"/>
                <w:szCs w:val="16"/>
              </w:rPr>
              <w:t xml:space="preserve"> suchen.</w:t>
            </w:r>
          </w:p>
        </w:tc>
      </w:tr>
      <w:tr w:rsidR="001B2C92" w:rsidRPr="00F31845" w14:paraId="3BAF5B36" w14:textId="77777777" w:rsidTr="00904C72">
        <w:tc>
          <w:tcPr>
            <w:tcW w:w="4536" w:type="dxa"/>
          </w:tcPr>
          <w:p w14:paraId="15CB3AB1"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2636E8F1" wp14:editId="5663F457">
                  <wp:extent cx="2736850" cy="1539478"/>
                  <wp:effectExtent l="19050" t="19050" r="25400" b="2286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18"/>
                          <a:stretch>
                            <a:fillRect/>
                          </a:stretch>
                        </pic:blipFill>
                        <pic:spPr bwMode="auto">
                          <a:xfrm>
                            <a:off x="0" y="0"/>
                            <a:ext cx="2736850" cy="1539478"/>
                          </a:xfrm>
                          <a:prstGeom prst="rect">
                            <a:avLst/>
                          </a:prstGeom>
                          <a:noFill/>
                          <a:ln>
                            <a:solidFill>
                              <a:schemeClr val="tx1"/>
                            </a:solidFill>
                          </a:ln>
                        </pic:spPr>
                      </pic:pic>
                    </a:graphicData>
                  </a:graphic>
                </wp:inline>
              </w:drawing>
            </w:r>
          </w:p>
        </w:tc>
        <w:tc>
          <w:tcPr>
            <w:tcW w:w="4820" w:type="dxa"/>
          </w:tcPr>
          <w:p w14:paraId="3097463C"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Das «Leistbarer-Verlust-Prinzip» schützt nicht vor dem Scheitern, aber es kann vor einer Verschuldung schützen, die zu schweren persönlichen und finanziellen Schwierigkeiten führt.</w:t>
            </w:r>
          </w:p>
          <w:p w14:paraId="366E2C89"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 ein Grossteil aller Unternehmen scheitert (eine Daumenregel besagt, dass nach fünf Jahren die Hälfte aller Unternehmen nicht mehr am Markt ist), ist dieses Prinzip ein wirksamer Schutz gegen eine Verschuldung, die nicht mehr zu stemmen ist.</w:t>
            </w:r>
          </w:p>
        </w:tc>
      </w:tr>
      <w:tr w:rsidR="001B2C92" w:rsidRPr="00F31845" w14:paraId="0FC5E929" w14:textId="77777777" w:rsidTr="00904C72">
        <w:tc>
          <w:tcPr>
            <w:tcW w:w="4536" w:type="dxa"/>
          </w:tcPr>
          <w:p w14:paraId="514AFF7B"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D988EB0" wp14:editId="7B0901B7">
                  <wp:extent cx="2717235" cy="1528445"/>
                  <wp:effectExtent l="19050" t="19050" r="26035" b="146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19"/>
                          <a:stretch>
                            <a:fillRect/>
                          </a:stretch>
                        </pic:blipFill>
                        <pic:spPr bwMode="auto">
                          <a:xfrm>
                            <a:off x="0" y="0"/>
                            <a:ext cx="2717235" cy="1528445"/>
                          </a:xfrm>
                          <a:prstGeom prst="rect">
                            <a:avLst/>
                          </a:prstGeom>
                          <a:noFill/>
                          <a:ln>
                            <a:solidFill>
                              <a:schemeClr val="tx1"/>
                            </a:solidFill>
                          </a:ln>
                        </pic:spPr>
                      </pic:pic>
                    </a:graphicData>
                  </a:graphic>
                </wp:inline>
              </w:drawing>
            </w:r>
          </w:p>
        </w:tc>
        <w:tc>
          <w:tcPr>
            <w:tcW w:w="4820" w:type="dxa"/>
          </w:tcPr>
          <w:p w14:paraId="4537FBDB"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 die Lernenden «nur» ein fiktives Unternehmen entwickeln, kann dieses Prinzip nur bedingt während myidea umgesetzt werden. Die Lernenden können sich aber durchaus folgendes überlegen: Wie viel sind sie als Team bereit für das Programm zu investieren? Vielleicht auch über die eigentliche Unterrichtszeit hinaus.</w:t>
            </w:r>
          </w:p>
        </w:tc>
      </w:tr>
      <w:tr w:rsidR="001B2C92" w:rsidRPr="00F31845" w14:paraId="0B75E78A" w14:textId="77777777" w:rsidTr="00904C72">
        <w:tc>
          <w:tcPr>
            <w:tcW w:w="4536" w:type="dxa"/>
          </w:tcPr>
          <w:p w14:paraId="368E9340"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BCE27D5" wp14:editId="76991CBC">
                  <wp:extent cx="2730500" cy="1535906"/>
                  <wp:effectExtent l="19050" t="19050" r="12700" b="266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20"/>
                          <a:stretch>
                            <a:fillRect/>
                          </a:stretch>
                        </pic:blipFill>
                        <pic:spPr bwMode="auto">
                          <a:xfrm>
                            <a:off x="0" y="0"/>
                            <a:ext cx="2730500" cy="1535906"/>
                          </a:xfrm>
                          <a:prstGeom prst="rect">
                            <a:avLst/>
                          </a:prstGeom>
                          <a:noFill/>
                          <a:ln>
                            <a:solidFill>
                              <a:schemeClr val="tx1"/>
                            </a:solidFill>
                          </a:ln>
                        </pic:spPr>
                      </pic:pic>
                    </a:graphicData>
                  </a:graphic>
                </wp:inline>
              </w:drawing>
            </w:r>
          </w:p>
        </w:tc>
        <w:tc>
          <w:tcPr>
            <w:tcW w:w="4820" w:type="dxa"/>
          </w:tcPr>
          <w:p w14:paraId="16B3D16C" w14:textId="51745C2E"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Ein grosser Vorteil, wenn man sich von den Ressourcen und jeweils den nächsten Schritten leiten lässt, besteht darin, dass Unvorhergesehenes zur positiven Weiterentwicklung der eigenen Idee genutzt werden kann. Dafür braucht es eine gewisse Offenheit, nicht nur bei den Lernenden. Auch Lehrpersonen sollten dafür offen sein, wenn Lernende die Richtung ihrer Idee im Laufe der Zeit (auch wenn die Abschlusspräsentationen bald anstehen) nochmals ändern. Sofern die Lernenden wirklich motiviert sind, zahlt sich dies meist aus.</w:t>
            </w:r>
          </w:p>
        </w:tc>
      </w:tr>
      <w:tr w:rsidR="001B2C92" w:rsidRPr="00F31845" w14:paraId="6D8E1AA2" w14:textId="77777777" w:rsidTr="00904C72">
        <w:tc>
          <w:tcPr>
            <w:tcW w:w="4536" w:type="dxa"/>
          </w:tcPr>
          <w:p w14:paraId="454061A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2A86A37" wp14:editId="1E863A98">
                  <wp:extent cx="2736850" cy="1539478"/>
                  <wp:effectExtent l="19050" t="19050" r="25400" b="228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1"/>
                          <a:stretch>
                            <a:fillRect/>
                          </a:stretch>
                        </pic:blipFill>
                        <pic:spPr bwMode="auto">
                          <a:xfrm>
                            <a:off x="0" y="0"/>
                            <a:ext cx="2736850" cy="1539478"/>
                          </a:xfrm>
                          <a:prstGeom prst="rect">
                            <a:avLst/>
                          </a:prstGeom>
                          <a:noFill/>
                          <a:ln>
                            <a:solidFill>
                              <a:schemeClr val="tx1"/>
                            </a:solidFill>
                          </a:ln>
                        </pic:spPr>
                      </pic:pic>
                    </a:graphicData>
                  </a:graphic>
                </wp:inline>
              </w:drawing>
            </w:r>
          </w:p>
        </w:tc>
        <w:tc>
          <w:tcPr>
            <w:tcW w:w="4820" w:type="dxa"/>
          </w:tcPr>
          <w:p w14:paraId="51EF8A01" w14:textId="78012EE5"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Fast jedes Team wird mit negativem Feedback konfrontiert werden. Wenn dies im ersten Moment demotivierend wirkt, ist das verständlich. In einem nächsten Schritt sollte aber – durchaus unterstützt von den Lehrpersonen – überlegt werden, ob das Negative nicht umgedeutet werden und für die Weiterentwicklung der Idee genutzt werden kann. </w:t>
            </w:r>
          </w:p>
        </w:tc>
      </w:tr>
      <w:tr w:rsidR="001B2C92" w:rsidRPr="00F31845" w14:paraId="527578A5" w14:textId="77777777" w:rsidTr="00904C72">
        <w:tc>
          <w:tcPr>
            <w:tcW w:w="4536" w:type="dxa"/>
          </w:tcPr>
          <w:p w14:paraId="7FA0A39F"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0F5F084B" wp14:editId="1613A406">
                  <wp:extent cx="2736850" cy="1539478"/>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22"/>
                          <a:stretch>
                            <a:fillRect/>
                          </a:stretch>
                        </pic:blipFill>
                        <pic:spPr bwMode="auto">
                          <a:xfrm>
                            <a:off x="0" y="0"/>
                            <a:ext cx="2736850" cy="1539478"/>
                          </a:xfrm>
                          <a:prstGeom prst="rect">
                            <a:avLst/>
                          </a:prstGeom>
                          <a:noFill/>
                          <a:ln>
                            <a:solidFill>
                              <a:schemeClr val="tx1"/>
                            </a:solidFill>
                          </a:ln>
                        </pic:spPr>
                      </pic:pic>
                    </a:graphicData>
                  </a:graphic>
                </wp:inline>
              </w:drawing>
            </w:r>
          </w:p>
        </w:tc>
        <w:tc>
          <w:tcPr>
            <w:tcW w:w="4820" w:type="dxa"/>
          </w:tcPr>
          <w:p w14:paraId="50B204D2"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Partnerschaften können darüber entscheiden wie erfolgreich ein Unternehmen ist. Durch Partnerschaften können neue Ressourcen gewonnen oder neue Märkte erschlossen werden. </w:t>
            </w:r>
          </w:p>
          <w:p w14:paraId="586FC215"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Lernende sollten daher ganz bewusst darüber nach</w:t>
            </w:r>
            <w:r w:rsidRPr="00F31845">
              <w:rPr>
                <w:rFonts w:ascii="Century Gothic" w:eastAsia="Arial Unicode MS" w:hAnsi="Century Gothic"/>
                <w:sz w:val="16"/>
                <w:szCs w:val="16"/>
              </w:rPr>
              <w:softHyphen/>
              <w:t xml:space="preserve">denken, mit wem sie kooperieren würden, welche Wertschöpfungsaktivitäten sie selbst übernehmen und welche nicht. Auch das Prinzip «Gründen mit Komponenten» geht in eine ähnliche Richtung. </w:t>
            </w:r>
          </w:p>
        </w:tc>
      </w:tr>
      <w:tr w:rsidR="001B2C92" w:rsidRPr="00F31845" w14:paraId="52FEE8DD" w14:textId="77777777" w:rsidTr="00904C72">
        <w:tc>
          <w:tcPr>
            <w:tcW w:w="4536" w:type="dxa"/>
          </w:tcPr>
          <w:p w14:paraId="7FA223AF"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35DA2208" wp14:editId="248EA03E">
                  <wp:extent cx="2743200" cy="1543049"/>
                  <wp:effectExtent l="19050" t="19050" r="19050" b="1968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23"/>
                          <a:stretch>
                            <a:fillRect/>
                          </a:stretch>
                        </pic:blipFill>
                        <pic:spPr bwMode="auto">
                          <a:xfrm>
                            <a:off x="0" y="0"/>
                            <a:ext cx="2743200" cy="1543049"/>
                          </a:xfrm>
                          <a:prstGeom prst="rect">
                            <a:avLst/>
                          </a:prstGeom>
                          <a:noFill/>
                          <a:ln>
                            <a:solidFill>
                              <a:schemeClr val="tx1"/>
                            </a:solidFill>
                          </a:ln>
                        </pic:spPr>
                      </pic:pic>
                    </a:graphicData>
                  </a:graphic>
                </wp:inline>
              </w:drawing>
            </w:r>
          </w:p>
        </w:tc>
        <w:tc>
          <w:tcPr>
            <w:tcW w:w="4820" w:type="dxa"/>
          </w:tcPr>
          <w:p w14:paraId="0A3FF74D"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Zeit für die Durchführung von </w:t>
            </w:r>
            <w:r w:rsidRPr="00F31845">
              <w:rPr>
                <w:rFonts w:ascii="Century Gothic" w:eastAsia="Arial Unicode MS" w:hAnsi="Century Gothic"/>
                <w:iCs/>
                <w:sz w:val="16"/>
                <w:szCs w:val="16"/>
              </w:rPr>
              <w:t>myidea</w:t>
            </w:r>
            <w:r w:rsidRPr="00F31845">
              <w:rPr>
                <w:rFonts w:ascii="Century Gothic" w:eastAsia="Arial Unicode MS" w:hAnsi="Century Gothic"/>
                <w:sz w:val="16"/>
                <w:szCs w:val="16"/>
              </w:rPr>
              <w:t xml:space="preserve"> ist meist knapp bemessen. Wenn die Lernenden aber die Zeit finden mit Unternehmerinnen und Unternehmern zu sprechen, die potenziell als Partner in Frage kämen, kann dies extrem motivierend sein. Lernende merken so oft, dass sie und ihre Ideen durchaus ernst genommen werden.</w:t>
            </w:r>
          </w:p>
        </w:tc>
      </w:tr>
      <w:tr w:rsidR="001B2C92" w:rsidRPr="00202E59" w14:paraId="25A46CD6" w14:textId="77777777" w:rsidTr="00904C72">
        <w:tc>
          <w:tcPr>
            <w:tcW w:w="4536" w:type="dxa"/>
          </w:tcPr>
          <w:p w14:paraId="1838405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34B592B8" wp14:editId="164CB280">
                  <wp:extent cx="2736850" cy="1539478"/>
                  <wp:effectExtent l="19050" t="19050" r="25400" b="228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4"/>
                          <a:stretch>
                            <a:fillRect/>
                          </a:stretch>
                        </pic:blipFill>
                        <pic:spPr bwMode="auto">
                          <a:xfrm>
                            <a:off x="0" y="0"/>
                            <a:ext cx="2736850" cy="1539478"/>
                          </a:xfrm>
                          <a:prstGeom prst="rect">
                            <a:avLst/>
                          </a:prstGeom>
                          <a:noFill/>
                          <a:ln>
                            <a:solidFill>
                              <a:schemeClr val="tx1"/>
                            </a:solidFill>
                          </a:ln>
                        </pic:spPr>
                      </pic:pic>
                    </a:graphicData>
                  </a:graphic>
                </wp:inline>
              </w:drawing>
            </w:r>
          </w:p>
        </w:tc>
        <w:tc>
          <w:tcPr>
            <w:tcW w:w="4820" w:type="dxa"/>
          </w:tcPr>
          <w:p w14:paraId="41097CE9" w14:textId="6070ED64"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Hier kann nochmals betont werden, dass letztlich alle vier Prinzipien oder Heuristiken eines gemeinsam haben: Es geht darum die Unsicherheit, unter der Unternehmerinnen und Unternehmer agieren, anzuerkennen und sich zu überlegen, wie man trotz der Unsicherheit handeln kann.</w:t>
            </w:r>
          </w:p>
          <w:p w14:paraId="2409C3AC" w14:textId="7C0E8BF4" w:rsidR="001B2C92" w:rsidRPr="00B3177F" w:rsidRDefault="001B2C92" w:rsidP="001E74EA">
            <w:pPr>
              <w:spacing w:before="120" w:after="40"/>
              <w:rPr>
                <w:rFonts w:ascii="Century Gothic" w:eastAsia="Arial Unicode MS" w:hAnsi="Century Gothic"/>
                <w:sz w:val="16"/>
                <w:szCs w:val="16"/>
                <w:lang w:val="en-GB"/>
              </w:rPr>
            </w:pPr>
            <w:proofErr w:type="spellStart"/>
            <w:r w:rsidRPr="00B3177F">
              <w:rPr>
                <w:rFonts w:ascii="Century Gothic" w:eastAsia="Arial Unicode MS" w:hAnsi="Century Gothic"/>
                <w:sz w:val="16"/>
                <w:szCs w:val="16"/>
                <w:lang w:val="en-GB"/>
              </w:rPr>
              <w:t>Eben</w:t>
            </w:r>
            <w:proofErr w:type="spellEnd"/>
            <w:r w:rsidRPr="00B3177F">
              <w:rPr>
                <w:rFonts w:ascii="Century Gothic" w:eastAsia="Arial Unicode MS" w:hAnsi="Century Gothic"/>
                <w:sz w:val="16"/>
                <w:szCs w:val="16"/>
                <w:lang w:val="en-GB"/>
              </w:rPr>
              <w:t xml:space="preserve"> </w:t>
            </w:r>
            <w:proofErr w:type="spellStart"/>
            <w:r w:rsidRPr="00B3177F">
              <w:rPr>
                <w:rFonts w:ascii="Century Gothic" w:eastAsia="Arial Unicode MS" w:hAnsi="Century Gothic"/>
                <w:sz w:val="16"/>
                <w:szCs w:val="16"/>
                <w:lang w:val="en-GB"/>
              </w:rPr>
              <w:t>nach</w:t>
            </w:r>
            <w:proofErr w:type="spellEnd"/>
            <w:r w:rsidRPr="00B3177F">
              <w:rPr>
                <w:rFonts w:ascii="Century Gothic" w:eastAsia="Arial Unicode MS" w:hAnsi="Century Gothic"/>
                <w:sz w:val="16"/>
                <w:szCs w:val="16"/>
                <w:lang w:val="en-GB"/>
              </w:rPr>
              <w:t xml:space="preserve"> </w:t>
            </w:r>
            <w:proofErr w:type="spellStart"/>
            <w:r w:rsidRPr="00B3177F">
              <w:rPr>
                <w:rFonts w:ascii="Century Gothic" w:eastAsia="Arial Unicode MS" w:hAnsi="Century Gothic"/>
                <w:sz w:val="16"/>
                <w:szCs w:val="16"/>
                <w:lang w:val="en-GB"/>
              </w:rPr>
              <w:t>dem</w:t>
            </w:r>
            <w:proofErr w:type="spellEnd"/>
            <w:r w:rsidRPr="00B3177F">
              <w:rPr>
                <w:rFonts w:ascii="Century Gothic" w:eastAsia="Arial Unicode MS" w:hAnsi="Century Gothic"/>
                <w:sz w:val="16"/>
                <w:szCs w:val="16"/>
                <w:lang w:val="en-GB"/>
              </w:rPr>
              <w:t xml:space="preserve"> Motto: </w:t>
            </w:r>
            <w:r w:rsidR="00F31845" w:rsidRPr="00B3177F">
              <w:rPr>
                <w:rFonts w:ascii="Century Gothic" w:eastAsia="Arial Unicode MS" w:hAnsi="Century Gothic"/>
                <w:sz w:val="16"/>
                <w:szCs w:val="16"/>
                <w:lang w:val="en-GB"/>
              </w:rPr>
              <w:t>«</w:t>
            </w:r>
            <w:r w:rsidRPr="00B3177F">
              <w:rPr>
                <w:rFonts w:ascii="Century Gothic" w:eastAsia="Arial Unicode MS" w:hAnsi="Century Gothic"/>
                <w:sz w:val="16"/>
                <w:szCs w:val="16"/>
                <w:lang w:val="en-GB"/>
              </w:rPr>
              <w:t xml:space="preserve">If I can control the future, I do not need to predict </w:t>
            </w:r>
            <w:proofErr w:type="gramStart"/>
            <w:r w:rsidRPr="00B3177F">
              <w:rPr>
                <w:rFonts w:ascii="Century Gothic" w:eastAsia="Arial Unicode MS" w:hAnsi="Century Gothic"/>
                <w:sz w:val="16"/>
                <w:szCs w:val="16"/>
                <w:lang w:val="en-GB"/>
              </w:rPr>
              <w:t>it.</w:t>
            </w:r>
            <w:r w:rsidR="00F31845" w:rsidRPr="00B3177F">
              <w:rPr>
                <w:rFonts w:ascii="Century Gothic" w:eastAsia="Arial Unicode MS" w:hAnsi="Century Gothic"/>
                <w:sz w:val="16"/>
                <w:szCs w:val="16"/>
                <w:lang w:val="en-GB"/>
              </w:rPr>
              <w:t>»</w:t>
            </w:r>
            <w:proofErr w:type="gramEnd"/>
          </w:p>
        </w:tc>
      </w:tr>
      <w:tr w:rsidR="001B2C92" w:rsidRPr="00F31845" w14:paraId="438656CD" w14:textId="77777777" w:rsidTr="00904C72">
        <w:tc>
          <w:tcPr>
            <w:tcW w:w="4536" w:type="dxa"/>
          </w:tcPr>
          <w:p w14:paraId="2FF00EEE"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249D682" wp14:editId="24C859B6">
                  <wp:extent cx="2736215" cy="1539120"/>
                  <wp:effectExtent l="19050" t="19050" r="26035" b="2349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25"/>
                          <a:stretch>
                            <a:fillRect/>
                          </a:stretch>
                        </pic:blipFill>
                        <pic:spPr bwMode="auto">
                          <a:xfrm>
                            <a:off x="0" y="0"/>
                            <a:ext cx="2736215" cy="1539120"/>
                          </a:xfrm>
                          <a:prstGeom prst="rect">
                            <a:avLst/>
                          </a:prstGeom>
                          <a:noFill/>
                          <a:ln>
                            <a:solidFill>
                              <a:schemeClr val="tx1"/>
                            </a:solidFill>
                          </a:ln>
                        </pic:spPr>
                      </pic:pic>
                    </a:graphicData>
                  </a:graphic>
                </wp:inline>
              </w:drawing>
            </w:r>
          </w:p>
        </w:tc>
        <w:tc>
          <w:tcPr>
            <w:tcW w:w="4820" w:type="dxa"/>
          </w:tcPr>
          <w:p w14:paraId="27799B5A" w14:textId="551C038E"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Am Ende können, sozusagen nochmals als Zusammen</w:t>
            </w:r>
            <w:r w:rsidRPr="00F31845">
              <w:rPr>
                <w:rFonts w:ascii="Century Gothic" w:eastAsia="Arial Unicode MS" w:hAnsi="Century Gothic"/>
                <w:sz w:val="16"/>
                <w:szCs w:val="16"/>
              </w:rPr>
              <w:softHyphen/>
              <w:t>fassung, die Unterschiede zwischen der kausalen Logik und der Effectuation-Logik mit</w:t>
            </w:r>
            <w:r w:rsidR="009050FC">
              <w:rPr>
                <w:rFonts w:ascii="Century Gothic" w:eastAsia="Arial Unicode MS" w:hAnsi="Century Gothic"/>
                <w:sz w:val="16"/>
                <w:szCs w:val="16"/>
              </w:rPr>
              <w:t>h</w:t>
            </w:r>
            <w:r w:rsidRPr="00F31845">
              <w:rPr>
                <w:rFonts w:ascii="Century Gothic" w:eastAsia="Arial Unicode MS" w:hAnsi="Century Gothic"/>
                <w:sz w:val="16"/>
                <w:szCs w:val="16"/>
              </w:rPr>
              <w:t>ilfe der zwei Abbil</w:t>
            </w:r>
            <w:r w:rsidRPr="00F31845">
              <w:rPr>
                <w:rFonts w:ascii="Century Gothic" w:eastAsia="Arial Unicode MS" w:hAnsi="Century Gothic"/>
                <w:sz w:val="16"/>
                <w:szCs w:val="16"/>
              </w:rPr>
              <w:softHyphen/>
              <w:t>dungen dargestellt werden.</w:t>
            </w:r>
          </w:p>
          <w:p w14:paraId="7F498BD5" w14:textId="227A25CC"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Hier kann erläutert werden, dass in unseren Ausbildungs</w:t>
            </w:r>
            <w:r w:rsidRPr="00F31845">
              <w:rPr>
                <w:rFonts w:ascii="Century Gothic" w:eastAsia="Arial Unicode MS" w:hAnsi="Century Gothic"/>
                <w:sz w:val="16"/>
                <w:szCs w:val="16"/>
              </w:rPr>
              <w:softHyphen/>
              <w:t xml:space="preserve">systemen meist eine kausale Logik betont wird. </w:t>
            </w:r>
          </w:p>
        </w:tc>
      </w:tr>
      <w:tr w:rsidR="001B2C92" w:rsidRPr="00F31845" w14:paraId="07746CE0" w14:textId="77777777" w:rsidTr="00904C72">
        <w:tc>
          <w:tcPr>
            <w:tcW w:w="4536" w:type="dxa"/>
          </w:tcPr>
          <w:p w14:paraId="13BCCA05"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EC19E0E" wp14:editId="1F282F44">
                  <wp:extent cx="2736215" cy="1539120"/>
                  <wp:effectExtent l="19050" t="19050" r="26035" b="2349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26"/>
                          <a:stretch>
                            <a:fillRect/>
                          </a:stretch>
                        </pic:blipFill>
                        <pic:spPr bwMode="auto">
                          <a:xfrm>
                            <a:off x="0" y="0"/>
                            <a:ext cx="2736215" cy="1539120"/>
                          </a:xfrm>
                          <a:prstGeom prst="rect">
                            <a:avLst/>
                          </a:prstGeom>
                          <a:noFill/>
                          <a:ln>
                            <a:solidFill>
                              <a:schemeClr val="tx1"/>
                            </a:solidFill>
                          </a:ln>
                        </pic:spPr>
                      </pic:pic>
                    </a:graphicData>
                  </a:graphic>
                </wp:inline>
              </w:drawing>
            </w:r>
          </w:p>
        </w:tc>
        <w:tc>
          <w:tcPr>
            <w:tcW w:w="4820" w:type="dxa"/>
          </w:tcPr>
          <w:p w14:paraId="4C9EE999" w14:textId="4E2A416C" w:rsidR="00A8191C" w:rsidRPr="00F31845" w:rsidRDefault="00A8191C" w:rsidP="001E74EA">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Lernende müssen darin bestärkt werden, zu handeln, aktiv zu werden. </w:t>
            </w:r>
            <w:r w:rsidRPr="00F31845">
              <w:rPr>
                <w:rFonts w:ascii="Century Gothic" w:eastAsia="Arial Unicode MS" w:hAnsi="Century Gothic"/>
                <w:sz w:val="16"/>
                <w:szCs w:val="16"/>
              </w:rPr>
              <w:t xml:space="preserve">Entdeckende Vorgehensweisen werden </w:t>
            </w:r>
            <w:r>
              <w:rPr>
                <w:rFonts w:ascii="Century Gothic" w:eastAsia="Arial Unicode MS" w:hAnsi="Century Gothic"/>
                <w:sz w:val="16"/>
                <w:szCs w:val="16"/>
              </w:rPr>
              <w:t xml:space="preserve">jedoch </w:t>
            </w:r>
            <w:r w:rsidRPr="00F31845">
              <w:rPr>
                <w:rFonts w:ascii="Century Gothic" w:eastAsia="Arial Unicode MS" w:hAnsi="Century Gothic"/>
                <w:sz w:val="16"/>
                <w:szCs w:val="16"/>
              </w:rPr>
              <w:t>meist ver</w:t>
            </w:r>
            <w:r w:rsidRPr="00F31845">
              <w:rPr>
                <w:rFonts w:ascii="Century Gothic" w:eastAsia="Arial Unicode MS" w:hAnsi="Century Gothic"/>
                <w:sz w:val="16"/>
                <w:szCs w:val="16"/>
              </w:rPr>
              <w:softHyphen/>
              <w:t>nachlässigt. Daher fällt es mitunter auch den Lehrpersonen schwer</w:t>
            </w:r>
            <w:r>
              <w:rPr>
                <w:rFonts w:ascii="Century Gothic" w:eastAsia="Arial Unicode MS" w:hAnsi="Century Gothic"/>
                <w:sz w:val="16"/>
                <w:szCs w:val="16"/>
              </w:rPr>
              <w:t>,</w:t>
            </w:r>
            <w:r w:rsidRPr="00F31845">
              <w:rPr>
                <w:rFonts w:ascii="Century Gothic" w:eastAsia="Arial Unicode MS" w:hAnsi="Century Gothic"/>
                <w:sz w:val="16"/>
                <w:szCs w:val="16"/>
              </w:rPr>
              <w:t xml:space="preserve"> die Lernenden in diesem offenen Prozess zu unterstützen.</w:t>
            </w:r>
          </w:p>
        </w:tc>
      </w:tr>
      <w:bookmarkEnd w:id="0"/>
    </w:tbl>
    <w:p w14:paraId="64DF0761" w14:textId="77777777" w:rsidR="001B2C92" w:rsidRPr="00F31845" w:rsidRDefault="001B2C92" w:rsidP="006F630F">
      <w:pPr>
        <w:spacing w:line="360" w:lineRule="auto"/>
        <w:jc w:val="center"/>
        <w:rPr>
          <w:rFonts w:ascii="Century Gothic" w:hAnsi="Century Gothic"/>
          <w:b/>
          <w:sz w:val="22"/>
          <w:szCs w:val="22"/>
        </w:rPr>
      </w:pPr>
    </w:p>
    <w:sectPr w:rsidR="001B2C92" w:rsidRPr="00F31845" w:rsidSect="00564E2A">
      <w:headerReference w:type="even" r:id="rId27"/>
      <w:headerReference w:type="default" r:id="rId28"/>
      <w:footerReference w:type="even" r:id="rId29"/>
      <w:footerReference w:type="default" r:id="rId30"/>
      <w:headerReference w:type="first" r:id="rId31"/>
      <w:footerReference w:type="first" r:id="rId3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7B8F0" w14:textId="77777777" w:rsidR="00414FD0" w:rsidRDefault="00414FD0">
      <w:r>
        <w:separator/>
      </w:r>
    </w:p>
  </w:endnote>
  <w:endnote w:type="continuationSeparator" w:id="0">
    <w:p w14:paraId="593153B6" w14:textId="77777777" w:rsidR="00414FD0" w:rsidRDefault="0041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678C" w14:textId="77777777" w:rsidR="00414FD0" w:rsidRDefault="00414FD0">
      <w:r>
        <w:separator/>
      </w:r>
    </w:p>
  </w:footnote>
  <w:footnote w:type="continuationSeparator" w:id="0">
    <w:p w14:paraId="359101F4" w14:textId="77777777" w:rsidR="00414FD0" w:rsidRDefault="00414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2E59"/>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4FD0"/>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48B6"/>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58A9"/>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Ruvb_kGAMYw&amp;t=1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1092</Words>
  <Characters>7203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Kramer Pia</cp:lastModifiedBy>
  <cp:revision>2</cp:revision>
  <cp:lastPrinted>2017-02-11T12:58:00Z</cp:lastPrinted>
  <dcterms:created xsi:type="dcterms:W3CDTF">2022-12-05T08:15:00Z</dcterms:created>
  <dcterms:modified xsi:type="dcterms:W3CDTF">2022-12-05T08:15:00Z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