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971F5" w14:textId="308C600E" w:rsidR="00EB5CF2" w:rsidRPr="00424013" w:rsidRDefault="00424013" w:rsidP="0023153E">
      <w:pPr>
        <w:spacing w:line="360" w:lineRule="auto"/>
        <w:jc w:val="center"/>
        <w:rPr>
          <w:rFonts w:ascii="Century Gothic" w:hAnsi="Century Gothic"/>
          <w:b/>
          <w:sz w:val="32"/>
          <w:szCs w:val="32"/>
          <w:lang w:val="it-CH"/>
        </w:rPr>
      </w:pPr>
      <w:r w:rsidRPr="00424013">
        <w:rPr>
          <w:rFonts w:ascii="Century Gothic" w:hAnsi="Century Gothic"/>
          <w:b/>
          <w:sz w:val="32"/>
          <w:szCs w:val="32"/>
          <w:lang w:val="it-CH"/>
        </w:rPr>
        <w:t>Diapositive commentate per docenti</w:t>
      </w:r>
    </w:p>
    <w:p w14:paraId="3B5E9752" w14:textId="36E0073F" w:rsidR="005476A7" w:rsidRPr="009B74C1" w:rsidRDefault="005476A7" w:rsidP="0023153E">
      <w:pPr>
        <w:spacing w:line="360" w:lineRule="auto"/>
        <w:jc w:val="center"/>
        <w:rPr>
          <w:rFonts w:ascii="Century Gothic" w:hAnsi="Century Gothic"/>
          <w:b/>
          <w:sz w:val="22"/>
          <w:szCs w:val="22"/>
          <w:lang w:val="it-CH"/>
        </w:rPr>
      </w:pPr>
    </w:p>
    <w:p w14:paraId="7A8EBA03" w14:textId="2914E307" w:rsidR="00424013" w:rsidRPr="00424013" w:rsidRDefault="00424013" w:rsidP="00424013">
      <w:pPr>
        <w:spacing w:before="120" w:line="280" w:lineRule="exact"/>
        <w:jc w:val="center"/>
        <w:rPr>
          <w:rFonts w:ascii="Century Gothic" w:hAnsi="Century Gothic" w:cstheme="minorHAnsi"/>
          <w:b/>
          <w:sz w:val="22"/>
          <w:szCs w:val="22"/>
          <w:lang w:val="it-CH"/>
        </w:rPr>
      </w:pPr>
      <w:r w:rsidRPr="00424013">
        <w:rPr>
          <w:rFonts w:ascii="Century Gothic" w:hAnsi="Century Gothic"/>
          <w:b/>
          <w:sz w:val="22"/>
          <w:szCs w:val="22"/>
          <w:lang w:val="it-CH"/>
        </w:rPr>
        <w:t>Tema giallo</w:t>
      </w:r>
      <w:r w:rsidR="001B2C92" w:rsidRPr="00424013">
        <w:rPr>
          <w:rFonts w:ascii="Century Gothic" w:hAnsi="Century Gothic"/>
          <w:b/>
          <w:sz w:val="22"/>
          <w:szCs w:val="22"/>
          <w:lang w:val="it-CH"/>
        </w:rPr>
        <w:t xml:space="preserve"> 5: «</w:t>
      </w:r>
      <w:proofErr w:type="spellStart"/>
      <w:r w:rsidR="001B2C92" w:rsidRPr="00424013">
        <w:rPr>
          <w:rFonts w:ascii="Century Gothic" w:hAnsi="Century Gothic"/>
          <w:b/>
          <w:sz w:val="22"/>
          <w:szCs w:val="22"/>
          <w:lang w:val="it-CH"/>
        </w:rPr>
        <w:t>Effectuation</w:t>
      </w:r>
      <w:proofErr w:type="spellEnd"/>
      <w:r w:rsidR="001B2C92" w:rsidRPr="00424013">
        <w:rPr>
          <w:rFonts w:ascii="Century Gothic" w:hAnsi="Century Gothic"/>
          <w:b/>
          <w:sz w:val="22"/>
          <w:szCs w:val="22"/>
          <w:lang w:val="it-CH"/>
        </w:rPr>
        <w:t xml:space="preserve">» </w:t>
      </w:r>
      <w:r w:rsidRPr="00424013">
        <w:rPr>
          <w:rFonts w:ascii="Century Gothic" w:hAnsi="Century Gothic"/>
          <w:b/>
          <w:sz w:val="22"/>
          <w:szCs w:val="22"/>
          <w:lang w:val="it-CH"/>
        </w:rPr>
        <w:t>e</w:t>
      </w:r>
      <w:r w:rsidR="001B2C92" w:rsidRPr="00424013">
        <w:rPr>
          <w:rFonts w:ascii="Century Gothic" w:hAnsi="Century Gothic"/>
          <w:b/>
          <w:sz w:val="22"/>
          <w:szCs w:val="22"/>
          <w:lang w:val="it-CH"/>
        </w:rPr>
        <w:t xml:space="preserve"> «</w:t>
      </w:r>
      <w:proofErr w:type="spellStart"/>
      <w:r w:rsidR="001B2C92" w:rsidRPr="00424013">
        <w:rPr>
          <w:rFonts w:ascii="Century Gothic" w:hAnsi="Century Gothic"/>
          <w:b/>
          <w:sz w:val="22"/>
          <w:szCs w:val="22"/>
          <w:lang w:val="it-CH"/>
        </w:rPr>
        <w:t>Causation</w:t>
      </w:r>
      <w:proofErr w:type="spellEnd"/>
      <w:r w:rsidR="001B2C92" w:rsidRPr="00424013">
        <w:rPr>
          <w:rFonts w:ascii="Century Gothic" w:hAnsi="Century Gothic"/>
          <w:b/>
          <w:sz w:val="22"/>
          <w:szCs w:val="22"/>
          <w:lang w:val="it-CH"/>
        </w:rPr>
        <w:t xml:space="preserve">» </w:t>
      </w:r>
      <w:r w:rsidR="001B2C92" w:rsidRPr="00424013">
        <w:rPr>
          <w:rFonts w:ascii="Century Gothic" w:hAnsi="Century Gothic"/>
          <w:b/>
          <w:bCs/>
          <w:sz w:val="22"/>
          <w:szCs w:val="22"/>
          <w:lang w:val="it-CH"/>
        </w:rPr>
        <w:t>–</w:t>
      </w:r>
      <w:r w:rsidR="001B2C92" w:rsidRPr="00424013">
        <w:rPr>
          <w:rFonts w:ascii="Century Gothic" w:hAnsi="Century Gothic"/>
          <w:b/>
          <w:sz w:val="22"/>
          <w:szCs w:val="22"/>
          <w:lang w:val="it-CH"/>
        </w:rPr>
        <w:t xml:space="preserve"> </w:t>
      </w:r>
      <w:r w:rsidRPr="00424013">
        <w:rPr>
          <w:rFonts w:ascii="Century Gothic" w:hAnsi="Century Gothic" w:cstheme="minorHAnsi"/>
          <w:b/>
          <w:sz w:val="22"/>
          <w:szCs w:val="22"/>
          <w:lang w:val="it-CH"/>
        </w:rPr>
        <w:t xml:space="preserve">Due diverse </w:t>
      </w:r>
      <w:r>
        <w:rPr>
          <w:rFonts w:ascii="Century Gothic" w:hAnsi="Century Gothic" w:cstheme="minorHAnsi"/>
          <w:b/>
          <w:sz w:val="22"/>
          <w:szCs w:val="22"/>
          <w:lang w:val="it-CH"/>
        </w:rPr>
        <w:t>l</w:t>
      </w:r>
      <w:r w:rsidRPr="00424013">
        <w:rPr>
          <w:rFonts w:ascii="Century Gothic" w:hAnsi="Century Gothic" w:cstheme="minorHAnsi"/>
          <w:b/>
          <w:sz w:val="22"/>
          <w:szCs w:val="22"/>
          <w:lang w:val="it-CH"/>
        </w:rPr>
        <w:t>ogiche decisionali</w:t>
      </w:r>
    </w:p>
    <w:p w14:paraId="0FB5ACE4" w14:textId="5082F628" w:rsidR="001B2C92" w:rsidRPr="00424013" w:rsidRDefault="001B2C92" w:rsidP="001B2C92">
      <w:pPr>
        <w:spacing w:line="360" w:lineRule="auto"/>
        <w:jc w:val="center"/>
        <w:rPr>
          <w:rFonts w:ascii="Century Gothic" w:hAnsi="Century Gothic"/>
          <w:b/>
          <w:sz w:val="22"/>
          <w:szCs w:val="22"/>
          <w:lang w:val="it-CH"/>
        </w:rPr>
      </w:pPr>
    </w:p>
    <w:p w14:paraId="73470482" w14:textId="77777777" w:rsidR="001B2C92" w:rsidRPr="00424013" w:rsidRDefault="001B2C92" w:rsidP="001B2C92">
      <w:pPr>
        <w:spacing w:before="40" w:after="40" w:line="260" w:lineRule="exact"/>
        <w:ind w:left="357"/>
        <w:rPr>
          <w:rFonts w:eastAsia="Arial Unicode MS"/>
          <w:sz w:val="20"/>
          <w:szCs w:val="20"/>
          <w:lang w:val="it-CH"/>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1B2C92" w:rsidRPr="0035526C" w14:paraId="48E4D86B" w14:textId="77777777" w:rsidTr="68B97279">
        <w:tc>
          <w:tcPr>
            <w:tcW w:w="4536" w:type="dxa"/>
          </w:tcPr>
          <w:p w14:paraId="109723ED" w14:textId="56410B3A" w:rsidR="001B2C92" w:rsidRPr="00F31845" w:rsidRDefault="0035526C" w:rsidP="00904C72">
            <w:pPr>
              <w:spacing w:before="200" w:after="200"/>
              <w:rPr>
                <w:rFonts w:eastAsia="Arial Unicode MS"/>
              </w:rPr>
            </w:pPr>
            <w:bookmarkStart w:id="0" w:name="_Hlk68862035"/>
            <w:r>
              <w:rPr>
                <w:noProof/>
              </w:rPr>
              <w:drawing>
                <wp:anchor distT="0" distB="0" distL="114300" distR="114300" simplePos="0" relativeHeight="251658240" behindDoc="0" locked="0" layoutInCell="1" allowOverlap="1" wp14:anchorId="3EC9079B" wp14:editId="57A3CD32">
                  <wp:simplePos x="0" y="0"/>
                  <wp:positionH relativeFrom="column">
                    <wp:posOffset>2233295</wp:posOffset>
                  </wp:positionH>
                  <wp:positionV relativeFrom="paragraph">
                    <wp:posOffset>205209</wp:posOffset>
                  </wp:positionV>
                  <wp:extent cx="472689" cy="226591"/>
                  <wp:effectExtent l="0" t="0" r="381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689" cy="226591"/>
                          </a:xfrm>
                          <a:prstGeom prst="rect">
                            <a:avLst/>
                          </a:prstGeom>
                          <a:noFill/>
                          <a:ln>
                            <a:noFill/>
                          </a:ln>
                        </pic:spPr>
                      </pic:pic>
                    </a:graphicData>
                  </a:graphic>
                  <wp14:sizeRelH relativeFrom="page">
                    <wp14:pctWidth>0</wp14:pctWidth>
                  </wp14:sizeRelH>
                  <wp14:sizeRelV relativeFrom="page">
                    <wp14:pctHeight>0</wp14:pctHeight>
                  </wp14:sizeRelV>
                </wp:anchor>
              </w:drawing>
            </w:r>
            <w:r w:rsidR="00062CD3" w:rsidRPr="00F31845">
              <w:rPr>
                <w:noProof/>
              </w:rPr>
              <w:drawing>
                <wp:inline distT="0" distB="0" distL="0" distR="0" wp14:anchorId="5AB4FF45" wp14:editId="5FCE098B">
                  <wp:extent cx="2743198" cy="1543049"/>
                  <wp:effectExtent l="19050" t="19050" r="19685" b="1968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pic:cNvPicPr/>
                        </pic:nvPicPr>
                        <pic:blipFill>
                          <a:blip r:embed="rId9"/>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55E9A30D" w14:textId="77777777" w:rsidR="00833BBB" w:rsidRPr="00833BBB" w:rsidRDefault="68B97279" w:rsidP="68B97279">
            <w:pPr>
              <w:spacing w:before="120" w:after="40"/>
              <w:rPr>
                <w:rFonts w:ascii="Century Gothic" w:eastAsia="Arial Unicode MS" w:hAnsi="Century Gothic"/>
                <w:b/>
                <w:bCs/>
                <w:sz w:val="16"/>
                <w:szCs w:val="16"/>
                <w:lang w:val="it-CH"/>
              </w:rPr>
            </w:pPr>
            <w:r w:rsidRPr="68B97279">
              <w:rPr>
                <w:rFonts w:ascii="Century Gothic" w:eastAsia="Arial Unicode MS" w:hAnsi="Century Gothic"/>
                <w:b/>
                <w:bCs/>
                <w:sz w:val="16"/>
                <w:szCs w:val="16"/>
                <w:lang w:val="it-CH"/>
              </w:rPr>
              <w:t xml:space="preserve">Effettuazione come </w:t>
            </w:r>
            <w:r w:rsidRPr="68B97279">
              <w:rPr>
                <w:rFonts w:ascii="Century Gothic" w:eastAsia="Arial Unicode MS" w:hAnsi="Century Gothic"/>
                <w:b/>
                <w:bCs/>
                <w:i/>
                <w:iCs/>
                <w:sz w:val="16"/>
                <w:szCs w:val="16"/>
                <w:lang w:val="it-CH"/>
              </w:rPr>
              <w:t>il</w:t>
            </w:r>
            <w:r w:rsidRPr="68B97279">
              <w:rPr>
                <w:rFonts w:ascii="Century Gothic" w:eastAsia="Arial Unicode MS" w:hAnsi="Century Gothic"/>
                <w:b/>
                <w:bCs/>
                <w:sz w:val="16"/>
                <w:szCs w:val="16"/>
                <w:lang w:val="it-CH"/>
              </w:rPr>
              <w:t xml:space="preserve"> metodo imprenditoriale</w:t>
            </w:r>
          </w:p>
          <w:p w14:paraId="7F21105F" w14:textId="0735340A" w:rsidR="00833BBB" w:rsidRPr="00833BBB" w:rsidRDefault="68B97279" w:rsidP="68B97279">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Il pensiero e l'agire imprenditoriale avvengono sempre nell'incertezza, specialmente quando si tratta dello sviluppo di progetti innovativi. La pianificazione e le previsioni basate solo sull'esperienza sono quindi destinate a fallire. Le logiche di «effettuazione» sviluppano la capacità di agire nell'incertezza.</w:t>
            </w:r>
          </w:p>
          <w:p w14:paraId="7913563E" w14:textId="6AC9AB02" w:rsidR="00622617" w:rsidRDefault="00622617" w:rsidP="00622617">
            <w:pPr>
              <w:spacing w:before="120" w:after="40"/>
              <w:rPr>
                <w:rFonts w:ascii="Century Gothic" w:eastAsia="Arial Unicode MS" w:hAnsi="Century Gothic"/>
                <w:b/>
                <w:sz w:val="16"/>
                <w:szCs w:val="16"/>
                <w:lang w:val="it-CH"/>
              </w:rPr>
            </w:pPr>
            <w:r w:rsidRPr="00A07CEF">
              <w:rPr>
                <w:rFonts w:ascii="Century Gothic" w:eastAsia="Arial Unicode MS" w:hAnsi="Century Gothic"/>
                <w:b/>
                <w:sz w:val="16"/>
                <w:szCs w:val="16"/>
                <w:lang w:val="it-CH"/>
              </w:rPr>
              <w:t>Obiettivi di questa sequenza</w:t>
            </w:r>
          </w:p>
          <w:p w14:paraId="327E06DF" w14:textId="646C186F" w:rsidR="00833BBB" w:rsidRPr="00833BBB" w:rsidRDefault="68B97279" w:rsidP="68B97279">
            <w:pPr>
              <w:rPr>
                <w:rFonts w:ascii="Century Gothic" w:eastAsia="Arial Unicode MS" w:hAnsi="Century Gothic"/>
                <w:sz w:val="16"/>
                <w:szCs w:val="16"/>
                <w:lang w:val="it-CH"/>
              </w:rPr>
            </w:pPr>
            <w:r w:rsidRPr="68B97279">
              <w:rPr>
                <w:rFonts w:ascii="Century Gothic" w:eastAsia="Arial Unicode MS" w:hAnsi="Century Gothic"/>
                <w:sz w:val="16"/>
                <w:szCs w:val="16"/>
                <w:lang w:val="it-CH"/>
              </w:rPr>
              <w:t>Le docenti e i docenti sono in grado di:</w:t>
            </w:r>
          </w:p>
          <w:p w14:paraId="27DA6451" w14:textId="3DB9E383" w:rsidR="00833BBB" w:rsidRPr="00833BBB" w:rsidRDefault="68B97279" w:rsidP="68B97279">
            <w:pPr>
              <w:pStyle w:val="Listenabsatz"/>
              <w:numPr>
                <w:ilvl w:val="0"/>
                <w:numId w:val="10"/>
              </w:num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spiegare e distinguere approccio effettuale e l'approccio causale.</w:t>
            </w:r>
          </w:p>
          <w:p w14:paraId="00473FF6" w14:textId="3A3A4587" w:rsidR="00833BBB" w:rsidRPr="00833BBB" w:rsidRDefault="68B97279" w:rsidP="68B97279">
            <w:pPr>
              <w:pStyle w:val="Listenabsatz"/>
              <w:numPr>
                <w:ilvl w:val="0"/>
                <w:numId w:val="10"/>
              </w:num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spiegare le quattro euristiche dell'</w:t>
            </w:r>
            <w:proofErr w:type="spellStart"/>
            <w:r w:rsidRPr="68B97279">
              <w:rPr>
                <w:rFonts w:ascii="Century Gothic" w:eastAsia="Arial Unicode MS" w:hAnsi="Century Gothic"/>
                <w:sz w:val="16"/>
                <w:szCs w:val="16"/>
                <w:lang w:val="it-CH"/>
              </w:rPr>
              <w:t>Effectuation</w:t>
            </w:r>
            <w:proofErr w:type="spellEnd"/>
            <w:r w:rsidRPr="68B97279">
              <w:rPr>
                <w:rFonts w:ascii="Century Gothic" w:eastAsia="Arial Unicode MS" w:hAnsi="Century Gothic"/>
                <w:sz w:val="16"/>
                <w:szCs w:val="16"/>
                <w:lang w:val="it-CH"/>
              </w:rPr>
              <w:t xml:space="preserve"> nonché il principio generale (principio del pilota d'aereo).</w:t>
            </w:r>
          </w:p>
          <w:p w14:paraId="2BF74A29" w14:textId="38815FB2" w:rsidR="001B2C92" w:rsidRPr="00833BBB" w:rsidRDefault="68B97279" w:rsidP="00833BBB">
            <w:pPr>
              <w:pStyle w:val="Listenabsatz"/>
              <w:numPr>
                <w:ilvl w:val="0"/>
                <w:numId w:val="10"/>
              </w:num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 xml:space="preserve">considerare e applicare in modo flessibile le quattro euristiche dell'effettuazione nel programma </w:t>
            </w:r>
            <w:proofErr w:type="spellStart"/>
            <w:r w:rsidRPr="68B97279">
              <w:rPr>
                <w:rFonts w:ascii="Century Gothic" w:eastAsia="Arial Unicode MS" w:hAnsi="Century Gothic"/>
                <w:sz w:val="16"/>
                <w:szCs w:val="16"/>
                <w:lang w:val="it-CH"/>
              </w:rPr>
              <w:t>myidea</w:t>
            </w:r>
            <w:proofErr w:type="spellEnd"/>
            <w:r w:rsidRPr="68B97279">
              <w:rPr>
                <w:rFonts w:ascii="Century Gothic" w:eastAsia="Arial Unicode MS" w:hAnsi="Century Gothic"/>
                <w:sz w:val="16"/>
                <w:szCs w:val="16"/>
                <w:lang w:val="it-CH"/>
              </w:rPr>
              <w:t>.</w:t>
            </w:r>
            <w:r w:rsidR="0035526C" w:rsidRPr="0035526C">
              <w:rPr>
                <w:noProof/>
                <w:lang w:val="it-CH"/>
              </w:rPr>
              <w:t xml:space="preserve"> </w:t>
            </w:r>
          </w:p>
        </w:tc>
      </w:tr>
      <w:tr w:rsidR="001B2C92" w:rsidRPr="0035526C" w14:paraId="26F58124" w14:textId="77777777" w:rsidTr="68B97279">
        <w:tc>
          <w:tcPr>
            <w:tcW w:w="4536" w:type="dxa"/>
          </w:tcPr>
          <w:p w14:paraId="0E4F4C54"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70F59AEC" wp14:editId="3767F986">
                  <wp:extent cx="2729653" cy="1535429"/>
                  <wp:effectExtent l="19050" t="19050" r="13970" b="2730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10"/>
                          <a:stretch>
                            <a:fillRect/>
                          </a:stretch>
                        </pic:blipFill>
                        <pic:spPr bwMode="auto">
                          <a:xfrm>
                            <a:off x="0" y="0"/>
                            <a:ext cx="2729653" cy="1535429"/>
                          </a:xfrm>
                          <a:prstGeom prst="rect">
                            <a:avLst/>
                          </a:prstGeom>
                          <a:noFill/>
                          <a:ln>
                            <a:solidFill>
                              <a:schemeClr val="tx1"/>
                            </a:solidFill>
                          </a:ln>
                        </pic:spPr>
                      </pic:pic>
                    </a:graphicData>
                  </a:graphic>
                </wp:inline>
              </w:drawing>
            </w:r>
          </w:p>
        </w:tc>
        <w:tc>
          <w:tcPr>
            <w:tcW w:w="4820" w:type="dxa"/>
          </w:tcPr>
          <w:p w14:paraId="08856A72" w14:textId="72DC8A56" w:rsidR="00710723" w:rsidRPr="00710723" w:rsidRDefault="68B97279" w:rsidP="00710723">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 xml:space="preserve">Un'introduzione efficace all'argomento consiste nel rendere concreti entrambi i metodi - </w:t>
            </w:r>
            <w:proofErr w:type="spellStart"/>
            <w:r w:rsidRPr="68B97279">
              <w:rPr>
                <w:rFonts w:ascii="Century Gothic" w:eastAsia="Arial Unicode MS" w:hAnsi="Century Gothic"/>
                <w:sz w:val="16"/>
                <w:szCs w:val="16"/>
                <w:lang w:val="it-CH"/>
              </w:rPr>
              <w:t>Effettuation</w:t>
            </w:r>
            <w:proofErr w:type="spellEnd"/>
            <w:r w:rsidRPr="68B97279">
              <w:rPr>
                <w:rFonts w:ascii="Century Gothic" w:eastAsia="Arial Unicode MS" w:hAnsi="Century Gothic"/>
                <w:sz w:val="16"/>
                <w:szCs w:val="16"/>
                <w:lang w:val="it-CH"/>
              </w:rPr>
              <w:t xml:space="preserve"> e </w:t>
            </w:r>
            <w:proofErr w:type="spellStart"/>
            <w:r w:rsidRPr="68B97279">
              <w:rPr>
                <w:rFonts w:ascii="Century Gothic" w:eastAsia="Arial Unicode MS" w:hAnsi="Century Gothic"/>
                <w:sz w:val="16"/>
                <w:szCs w:val="16"/>
                <w:lang w:val="it-CH"/>
              </w:rPr>
              <w:t>Causation</w:t>
            </w:r>
            <w:proofErr w:type="spellEnd"/>
            <w:r w:rsidRPr="68B97279">
              <w:rPr>
                <w:rFonts w:ascii="Century Gothic" w:eastAsia="Arial Unicode MS" w:hAnsi="Century Gothic"/>
                <w:sz w:val="16"/>
                <w:szCs w:val="16"/>
                <w:lang w:val="it-CH"/>
              </w:rPr>
              <w:t>.</w:t>
            </w:r>
          </w:p>
          <w:p w14:paraId="01514EB7" w14:textId="10D868FB" w:rsidR="00710723" w:rsidRPr="00710723" w:rsidRDefault="68B97279" w:rsidP="00710723">
            <w:pPr>
              <w:spacing w:before="120" w:after="40"/>
              <w:rPr>
                <w:rFonts w:ascii="Century Gothic" w:eastAsia="Arial Unicode MS" w:hAnsi="Century Gothic"/>
                <w:sz w:val="16"/>
                <w:szCs w:val="16"/>
                <w:lang w:val="it-CH"/>
              </w:rPr>
            </w:pPr>
            <w:r w:rsidRPr="68B97279">
              <w:rPr>
                <w:rFonts w:ascii="Century Gothic" w:eastAsia="Arial Unicode MS" w:hAnsi="Century Gothic"/>
                <w:b/>
                <w:bCs/>
                <w:sz w:val="16"/>
                <w:szCs w:val="16"/>
                <w:lang w:val="it-CH"/>
              </w:rPr>
              <w:t>Esempio</w:t>
            </w:r>
            <w:r w:rsidRPr="68B97279">
              <w:rPr>
                <w:rFonts w:ascii="Century Gothic" w:eastAsia="Arial Unicode MS" w:hAnsi="Century Gothic"/>
                <w:sz w:val="16"/>
                <w:szCs w:val="16"/>
                <w:lang w:val="it-CH"/>
              </w:rPr>
              <w:t xml:space="preserve">: si formano dei gruppi e ogni gruppo ha 10 minuti per risolvere un puzzle e 10 minuti per creare qualcosa con pezzi di stoffa (alternativa: mattoncini Lego o mattoncini Plus-Plus). Non ci sono istruzioni. Si dice semplicemente che il miglior risultato riceverà un premio. C'è anche un premio per la squadra che fa il puzzle più velocemente. Dopo l'esercizio, le differenze vengono discusse. La discussione può essere avviata con una domanda aperta: "Quali sono le differenze tra i due approcci"? </w:t>
            </w:r>
          </w:p>
          <w:p w14:paraId="274577E8" w14:textId="03F48D42" w:rsidR="00710723" w:rsidRPr="00710723" w:rsidRDefault="68B97279" w:rsidP="00710723">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 xml:space="preserve">Dalla discussione dovrebbero emergere le seguenti considerazioni: il risultato del puzzle è sempre lo stesso. È «solo» una questione di quanto velocemente o efficientemente si organizza il percorso verso la soluzione. In questo caso quindi ci sono delle buone tattiche da attuare: un gruppo che divide bene i ruoli o sviluppa buone strategie (come l'ordinamento dei margini e colori) avrà prestazioni migliori di un gruppo che non lo fa. </w:t>
            </w:r>
          </w:p>
          <w:p w14:paraId="2F15C651" w14:textId="77777777" w:rsidR="00710723" w:rsidRPr="00710723" w:rsidRDefault="00710723" w:rsidP="00710723">
            <w:pPr>
              <w:spacing w:before="120" w:after="40"/>
              <w:rPr>
                <w:rFonts w:ascii="Century Gothic" w:eastAsia="Arial Unicode MS" w:hAnsi="Century Gothic"/>
                <w:sz w:val="16"/>
                <w:szCs w:val="16"/>
                <w:lang w:val="it-CH"/>
              </w:rPr>
            </w:pPr>
            <w:r w:rsidRPr="00710723">
              <w:rPr>
                <w:rFonts w:ascii="Century Gothic" w:eastAsia="Arial Unicode MS" w:hAnsi="Century Gothic"/>
                <w:sz w:val="16"/>
                <w:szCs w:val="16"/>
                <w:lang w:val="it-CH"/>
              </w:rPr>
              <w:t xml:space="preserve">Al contrario, il risultato dell'esercizio di </w:t>
            </w:r>
            <w:proofErr w:type="spellStart"/>
            <w:r w:rsidRPr="00710723">
              <w:rPr>
                <w:rFonts w:ascii="Century Gothic" w:eastAsia="Arial Unicode MS" w:hAnsi="Century Gothic"/>
                <w:sz w:val="16"/>
                <w:szCs w:val="16"/>
                <w:lang w:val="it-CH"/>
              </w:rPr>
              <w:t>Effectuation</w:t>
            </w:r>
            <w:proofErr w:type="spellEnd"/>
            <w:r w:rsidRPr="00710723">
              <w:rPr>
                <w:rFonts w:ascii="Century Gothic" w:eastAsia="Arial Unicode MS" w:hAnsi="Century Gothic"/>
                <w:sz w:val="16"/>
                <w:szCs w:val="16"/>
                <w:lang w:val="it-CH"/>
              </w:rPr>
              <w:t xml:space="preserve"> è incerto e dipende dalle risorse iniziali e dalle preferenze e risorse del gruppo. È qui che la vera innovazione è possibile.</w:t>
            </w:r>
          </w:p>
          <w:p w14:paraId="6447863B" w14:textId="220CD2F6" w:rsidR="001B2C92" w:rsidRPr="00710723" w:rsidRDefault="68B97279" w:rsidP="00710723">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 xml:space="preserve">Anche se l'argomento «Effettuazione» non fa parte del programma </w:t>
            </w:r>
            <w:proofErr w:type="spellStart"/>
            <w:r w:rsidRPr="68B97279">
              <w:rPr>
                <w:rFonts w:ascii="Century Gothic" w:eastAsia="Arial Unicode MS" w:hAnsi="Century Gothic"/>
                <w:sz w:val="16"/>
                <w:szCs w:val="16"/>
                <w:lang w:val="it-CH"/>
              </w:rPr>
              <w:t>myidea</w:t>
            </w:r>
            <w:proofErr w:type="spellEnd"/>
            <w:r w:rsidRPr="68B97279">
              <w:rPr>
                <w:rFonts w:ascii="Century Gothic" w:eastAsia="Arial Unicode MS" w:hAnsi="Century Gothic"/>
                <w:sz w:val="16"/>
                <w:szCs w:val="16"/>
                <w:lang w:val="it-CH"/>
              </w:rPr>
              <w:t xml:space="preserve"> nulla vi impedisce di affrontarlo, se c'è tempo, anche con le persone in formazione</w:t>
            </w:r>
            <w:r w:rsidRPr="68B97279">
              <w:rPr>
                <w:rFonts w:ascii="Century Gothic" w:hAnsi="Century Gothic" w:cstheme="minorBidi"/>
                <w:sz w:val="16"/>
                <w:szCs w:val="16"/>
                <w:lang w:val="it-CH"/>
              </w:rPr>
              <w:t>.</w:t>
            </w:r>
          </w:p>
        </w:tc>
      </w:tr>
      <w:tr w:rsidR="001B2C92" w:rsidRPr="0035526C" w14:paraId="77B883A1" w14:textId="77777777" w:rsidTr="68B97279">
        <w:tc>
          <w:tcPr>
            <w:tcW w:w="4536" w:type="dxa"/>
          </w:tcPr>
          <w:p w14:paraId="336817A6"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13913681" wp14:editId="5EDB7AF9">
                  <wp:extent cx="2731911" cy="1536699"/>
                  <wp:effectExtent l="19050" t="19050" r="11430" b="2603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11"/>
                          <a:stretch>
                            <a:fillRect/>
                          </a:stretch>
                        </pic:blipFill>
                        <pic:spPr bwMode="auto">
                          <a:xfrm>
                            <a:off x="0" y="0"/>
                            <a:ext cx="2731911" cy="1536699"/>
                          </a:xfrm>
                          <a:prstGeom prst="rect">
                            <a:avLst/>
                          </a:prstGeom>
                          <a:noFill/>
                          <a:ln>
                            <a:solidFill>
                              <a:schemeClr val="tx1"/>
                            </a:solidFill>
                          </a:ln>
                        </pic:spPr>
                      </pic:pic>
                    </a:graphicData>
                  </a:graphic>
                </wp:inline>
              </w:drawing>
            </w:r>
          </w:p>
        </w:tc>
        <w:tc>
          <w:tcPr>
            <w:tcW w:w="4820" w:type="dxa"/>
          </w:tcPr>
          <w:p w14:paraId="65190C60" w14:textId="7B217539" w:rsidR="00E12255" w:rsidRPr="00E12255" w:rsidRDefault="68B97279" w:rsidP="68B97279">
            <w:pPr>
              <w:spacing w:before="120" w:after="40"/>
              <w:rPr>
                <w:rFonts w:ascii="Century Gothic" w:hAnsi="Century Gothic" w:cstheme="minorBidi"/>
                <w:sz w:val="16"/>
                <w:szCs w:val="16"/>
                <w:lang w:val="it-CH"/>
              </w:rPr>
            </w:pPr>
            <w:r w:rsidRPr="68B97279">
              <w:rPr>
                <w:rFonts w:ascii="Century Gothic" w:hAnsi="Century Gothic" w:cstheme="minorBidi"/>
                <w:sz w:val="16"/>
                <w:szCs w:val="16"/>
                <w:lang w:val="it-CH"/>
              </w:rPr>
              <w:t xml:space="preserve">La ricercatrice Saras </w:t>
            </w:r>
            <w:proofErr w:type="spellStart"/>
            <w:r w:rsidRPr="68B97279">
              <w:rPr>
                <w:rFonts w:ascii="Century Gothic" w:hAnsi="Century Gothic" w:cstheme="minorBidi"/>
                <w:sz w:val="16"/>
                <w:szCs w:val="16"/>
                <w:lang w:val="it-CH"/>
              </w:rPr>
              <w:t>Sarasvathy</w:t>
            </w:r>
            <w:proofErr w:type="spellEnd"/>
            <w:r w:rsidRPr="68B97279">
              <w:rPr>
                <w:rFonts w:ascii="Century Gothic" w:hAnsi="Century Gothic" w:cstheme="minorBidi"/>
                <w:sz w:val="16"/>
                <w:szCs w:val="16"/>
                <w:lang w:val="it-CH"/>
              </w:rPr>
              <w:t xml:space="preserve"> può essere definita la «scopritrice» della logica effettuale. Prima, insieme ad altri ricercatori, ha condotto studi comparativi con imprenditrici e imprenditori esperti e studenti di management, poi anche con manager.</w:t>
            </w:r>
          </w:p>
          <w:p w14:paraId="7FBCF956" w14:textId="77777777" w:rsidR="00E12255" w:rsidRDefault="00E12255" w:rsidP="00E12255">
            <w:pPr>
              <w:spacing w:before="120" w:after="40"/>
              <w:rPr>
                <w:rFonts w:ascii="Century Gothic" w:hAnsi="Century Gothic" w:cstheme="minorHAnsi"/>
                <w:sz w:val="16"/>
                <w:szCs w:val="16"/>
                <w:lang w:val="it-CH"/>
              </w:rPr>
            </w:pPr>
            <w:r w:rsidRPr="00E12255">
              <w:rPr>
                <w:rFonts w:ascii="Century Gothic" w:hAnsi="Century Gothic" w:cstheme="minorHAnsi"/>
                <w:sz w:val="16"/>
                <w:szCs w:val="16"/>
                <w:lang w:val="it-CH"/>
              </w:rPr>
              <w:t xml:space="preserve">In alternativa, o come complemento alla vostra spiegazione della diapositiva, si può mostrare questo video in lingua inglese: </w:t>
            </w:r>
          </w:p>
          <w:p w14:paraId="61719EE7" w14:textId="2A913F21" w:rsidR="00E12255" w:rsidRDefault="000436CE" w:rsidP="00E12255">
            <w:pPr>
              <w:spacing w:before="120" w:after="40"/>
              <w:rPr>
                <w:rFonts w:ascii="Century Gothic" w:hAnsi="Century Gothic" w:cstheme="minorHAnsi"/>
                <w:sz w:val="16"/>
                <w:szCs w:val="16"/>
                <w:lang w:val="it-CH"/>
              </w:rPr>
            </w:pPr>
            <w:hyperlink r:id="rId12" w:history="1">
              <w:r w:rsidR="00E12255" w:rsidRPr="00B91283">
                <w:rPr>
                  <w:rStyle w:val="Hyperlink"/>
                  <w:rFonts w:ascii="Century Gothic" w:hAnsi="Century Gothic" w:cstheme="minorHAnsi"/>
                  <w:sz w:val="16"/>
                  <w:szCs w:val="16"/>
                  <w:lang w:val="it-CH"/>
                </w:rPr>
                <w:t>https://www.youtube.com/watch?v=Ruvb_kGAMYw&amp;t=1s</w:t>
              </w:r>
            </w:hyperlink>
            <w:r w:rsidR="00E12255" w:rsidRPr="00E12255">
              <w:rPr>
                <w:rFonts w:ascii="Century Gothic" w:hAnsi="Century Gothic" w:cstheme="minorHAnsi"/>
                <w:sz w:val="16"/>
                <w:szCs w:val="16"/>
                <w:lang w:val="it-CH"/>
              </w:rPr>
              <w:t xml:space="preserve"> </w:t>
            </w:r>
          </w:p>
          <w:p w14:paraId="6CD6639E" w14:textId="0FB65899" w:rsidR="001B2C92" w:rsidRPr="00E12255" w:rsidRDefault="00E12255" w:rsidP="00E12255">
            <w:pPr>
              <w:spacing w:before="120" w:after="40"/>
              <w:rPr>
                <w:rFonts w:ascii="Century Gothic" w:hAnsi="Century Gothic" w:cstheme="minorHAnsi"/>
                <w:sz w:val="16"/>
                <w:szCs w:val="16"/>
                <w:lang w:val="it-CH"/>
              </w:rPr>
            </w:pPr>
            <w:r w:rsidRPr="00E12255">
              <w:rPr>
                <w:rFonts w:ascii="Century Gothic" w:hAnsi="Century Gothic" w:cstheme="minorHAnsi"/>
                <w:sz w:val="16"/>
                <w:szCs w:val="16"/>
                <w:lang w:val="it-CH"/>
              </w:rPr>
              <w:t xml:space="preserve">Qui Saras </w:t>
            </w:r>
            <w:proofErr w:type="spellStart"/>
            <w:r w:rsidRPr="00E12255">
              <w:rPr>
                <w:rFonts w:ascii="Century Gothic" w:hAnsi="Century Gothic" w:cstheme="minorHAnsi"/>
                <w:sz w:val="16"/>
                <w:szCs w:val="16"/>
                <w:lang w:val="it-CH"/>
              </w:rPr>
              <w:t>Sarasvathy</w:t>
            </w:r>
            <w:proofErr w:type="spellEnd"/>
            <w:r w:rsidRPr="00E12255">
              <w:rPr>
                <w:rFonts w:ascii="Century Gothic" w:hAnsi="Century Gothic" w:cstheme="minorHAnsi"/>
                <w:sz w:val="16"/>
                <w:szCs w:val="16"/>
                <w:lang w:val="it-CH"/>
              </w:rPr>
              <w:t xml:space="preserve"> stessa spiega i risultati dei suoi studi.</w:t>
            </w:r>
          </w:p>
        </w:tc>
      </w:tr>
      <w:tr w:rsidR="001B2C92" w:rsidRPr="00592870" w14:paraId="136E333B" w14:textId="77777777" w:rsidTr="68B97279">
        <w:tc>
          <w:tcPr>
            <w:tcW w:w="4536" w:type="dxa"/>
          </w:tcPr>
          <w:p w14:paraId="7C9EB298"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lastRenderedPageBreak/>
              <w:drawing>
                <wp:inline distT="0" distB="0" distL="0" distR="0" wp14:anchorId="1696DDB3" wp14:editId="32D743F3">
                  <wp:extent cx="2736213" cy="1539120"/>
                  <wp:effectExtent l="19050" t="19050" r="26670" b="2349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13"/>
                          <a:stretch>
                            <a:fillRect/>
                          </a:stretch>
                        </pic:blipFill>
                        <pic:spPr bwMode="auto">
                          <a:xfrm>
                            <a:off x="0" y="0"/>
                            <a:ext cx="2736213" cy="1539120"/>
                          </a:xfrm>
                          <a:prstGeom prst="rect">
                            <a:avLst/>
                          </a:prstGeom>
                          <a:noFill/>
                          <a:ln>
                            <a:solidFill>
                              <a:schemeClr val="tx1"/>
                            </a:solidFill>
                          </a:ln>
                        </pic:spPr>
                      </pic:pic>
                    </a:graphicData>
                  </a:graphic>
                </wp:inline>
              </w:drawing>
            </w:r>
          </w:p>
        </w:tc>
        <w:tc>
          <w:tcPr>
            <w:tcW w:w="4820" w:type="dxa"/>
          </w:tcPr>
          <w:p w14:paraId="6F365BD7" w14:textId="4647E99F" w:rsidR="001B2C92" w:rsidRPr="00592870" w:rsidRDefault="68B97279" w:rsidP="001E74EA">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 xml:space="preserve">Dopo aver reso tangibili le differenze tra i due approcci e aver presentato </w:t>
            </w:r>
            <w:proofErr w:type="gramStart"/>
            <w:r w:rsidRPr="68B97279">
              <w:rPr>
                <w:rFonts w:ascii="Century Gothic" w:eastAsia="Arial Unicode MS" w:hAnsi="Century Gothic"/>
                <w:sz w:val="16"/>
                <w:szCs w:val="16"/>
                <w:lang w:val="it-CH"/>
              </w:rPr>
              <w:t>il background</w:t>
            </w:r>
            <w:proofErr w:type="gramEnd"/>
            <w:r w:rsidRPr="68B97279">
              <w:rPr>
                <w:rFonts w:ascii="Century Gothic" w:eastAsia="Arial Unicode MS" w:hAnsi="Century Gothic"/>
                <w:sz w:val="16"/>
                <w:szCs w:val="16"/>
                <w:lang w:val="it-CH"/>
              </w:rPr>
              <w:t xml:space="preserve"> degli studi empirici, la differenza tra </w:t>
            </w:r>
            <w:proofErr w:type="spellStart"/>
            <w:r w:rsidRPr="68B97279">
              <w:rPr>
                <w:rFonts w:ascii="Century Gothic" w:eastAsia="Arial Unicode MS" w:hAnsi="Century Gothic"/>
                <w:sz w:val="16"/>
                <w:szCs w:val="16"/>
                <w:lang w:val="it-CH"/>
              </w:rPr>
              <w:t>Causation</w:t>
            </w:r>
            <w:proofErr w:type="spellEnd"/>
            <w:r w:rsidRPr="68B97279">
              <w:rPr>
                <w:rFonts w:ascii="Century Gothic" w:eastAsia="Arial Unicode MS" w:hAnsi="Century Gothic"/>
                <w:sz w:val="16"/>
                <w:szCs w:val="16"/>
                <w:lang w:val="it-CH"/>
              </w:rPr>
              <w:t xml:space="preserve"> ed </w:t>
            </w:r>
            <w:proofErr w:type="spellStart"/>
            <w:r w:rsidRPr="68B97279">
              <w:rPr>
                <w:rFonts w:ascii="Century Gothic" w:eastAsia="Arial Unicode MS" w:hAnsi="Century Gothic"/>
                <w:sz w:val="16"/>
                <w:szCs w:val="16"/>
                <w:lang w:val="it-CH"/>
              </w:rPr>
              <w:t>Effectuation</w:t>
            </w:r>
            <w:proofErr w:type="spellEnd"/>
            <w:r w:rsidRPr="68B97279">
              <w:rPr>
                <w:rFonts w:ascii="Century Gothic" w:eastAsia="Arial Unicode MS" w:hAnsi="Century Gothic"/>
                <w:sz w:val="16"/>
                <w:szCs w:val="16"/>
                <w:lang w:val="it-CH"/>
              </w:rPr>
              <w:t xml:space="preserve"> in questa diapositiva viene presentata a livello concettuale. </w:t>
            </w:r>
            <w:r w:rsidRPr="68B97279">
              <w:rPr>
                <w:rFonts w:ascii="Century Gothic" w:eastAsia="Arial Unicode MS" w:hAnsi="Century Gothic"/>
                <w:sz w:val="16"/>
                <w:szCs w:val="16"/>
                <w:lang w:val="it-IT"/>
              </w:rPr>
              <w:t>Questo fornisce all'insegnante diversi approcci al c</w:t>
            </w:r>
            <w:r w:rsidRPr="00B86C49">
              <w:rPr>
                <w:rFonts w:ascii="Century Gothic" w:eastAsia="Arial Unicode MS" w:hAnsi="Century Gothic"/>
                <w:sz w:val="16"/>
                <w:szCs w:val="16"/>
                <w:lang w:val="it-IT"/>
              </w:rPr>
              <w:t>oncetto.</w:t>
            </w:r>
          </w:p>
        </w:tc>
      </w:tr>
      <w:tr w:rsidR="001B2C92" w:rsidRPr="0035526C" w14:paraId="1916C996" w14:textId="77777777" w:rsidTr="68B97279">
        <w:tc>
          <w:tcPr>
            <w:tcW w:w="4536" w:type="dxa"/>
          </w:tcPr>
          <w:p w14:paraId="05B0161C"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55C307A1" wp14:editId="17A2ED1F">
                  <wp:extent cx="2743198" cy="1543049"/>
                  <wp:effectExtent l="19050" t="19050" r="19685" b="1968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noChangeArrowheads="1"/>
                          </pic:cNvPicPr>
                        </pic:nvPicPr>
                        <pic:blipFill>
                          <a:blip r:embed="rId14"/>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17BE587C" w14:textId="6090377C" w:rsidR="001807D7" w:rsidRPr="001807D7" w:rsidRDefault="68B97279" w:rsidP="001807D7">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Il principio può anche essere applicato a un fenomeno quotidiano: si tende a cucinare secondo una ricetta (approccio causale) o si guarda semplicemente ciò che c'è a disposizione (approccio effettuale) e si decide cosa cucinare?</w:t>
            </w:r>
          </w:p>
          <w:p w14:paraId="7C5538BA" w14:textId="42C06273" w:rsidR="001807D7" w:rsidRPr="001807D7" w:rsidRDefault="68B97279" w:rsidP="001807D7">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Nell'interazione con l'insegnante, per esempio, si può iniziare con un sondaggio: chi cucina secondo la ricetta? Chi cucina in base quello che c'è a disposizione? Chi lo fa a seconda della situazione?</w:t>
            </w:r>
          </w:p>
          <w:p w14:paraId="68582881" w14:textId="372B4084" w:rsidR="001B2C92" w:rsidRPr="001807D7" w:rsidRDefault="68B97279" w:rsidP="001807D7">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A questo punto si può sottolineare che entrambi gli approcci hanno il loro perché. L'approccio effettuale è più adatto all'azione in un contesto di incertezza, mentre l'approccio causale può essere usata quando la pianificazione e le previsioni basate sull'esperienza precedente hanno senso.</w:t>
            </w:r>
          </w:p>
        </w:tc>
      </w:tr>
      <w:tr w:rsidR="001B2C92" w:rsidRPr="0035526C" w14:paraId="5635E4A3" w14:textId="77777777" w:rsidTr="68B97279">
        <w:tc>
          <w:tcPr>
            <w:tcW w:w="4536" w:type="dxa"/>
          </w:tcPr>
          <w:p w14:paraId="1A40487A"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03F1EB06" wp14:editId="4D3374AB">
                  <wp:extent cx="2736849" cy="1539478"/>
                  <wp:effectExtent l="19050" t="19050" r="26035" b="2286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5"/>
                          <a:stretch>
                            <a:fillRect/>
                          </a:stretch>
                        </pic:blipFill>
                        <pic:spPr bwMode="auto">
                          <a:xfrm>
                            <a:off x="0" y="0"/>
                            <a:ext cx="2736849" cy="1539478"/>
                          </a:xfrm>
                          <a:prstGeom prst="rect">
                            <a:avLst/>
                          </a:prstGeom>
                          <a:noFill/>
                          <a:ln>
                            <a:solidFill>
                              <a:schemeClr val="tx1"/>
                            </a:solidFill>
                          </a:ln>
                        </pic:spPr>
                      </pic:pic>
                    </a:graphicData>
                  </a:graphic>
                </wp:inline>
              </w:drawing>
            </w:r>
          </w:p>
        </w:tc>
        <w:tc>
          <w:tcPr>
            <w:tcW w:w="4820" w:type="dxa"/>
          </w:tcPr>
          <w:p w14:paraId="4A60BCBE" w14:textId="5B6E1C5A" w:rsidR="001807D7" w:rsidRPr="001807D7" w:rsidRDefault="68B97279" w:rsidP="001807D7">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 xml:space="preserve">Diversi studi empirici hanno permesso a Saras </w:t>
            </w:r>
            <w:proofErr w:type="spellStart"/>
            <w:r w:rsidRPr="68B97279">
              <w:rPr>
                <w:rFonts w:ascii="Century Gothic" w:eastAsia="Arial Unicode MS" w:hAnsi="Century Gothic"/>
                <w:sz w:val="16"/>
                <w:szCs w:val="16"/>
                <w:lang w:val="it-CH"/>
              </w:rPr>
              <w:t>Sarasvathy</w:t>
            </w:r>
            <w:proofErr w:type="spellEnd"/>
            <w:r w:rsidRPr="68B97279">
              <w:rPr>
                <w:rFonts w:ascii="Century Gothic" w:eastAsia="Arial Unicode MS" w:hAnsi="Century Gothic"/>
                <w:sz w:val="16"/>
                <w:szCs w:val="16"/>
                <w:lang w:val="it-CH"/>
              </w:rPr>
              <w:t xml:space="preserve"> e altri ricercatori di identificare quattro euristiche e un principio generale che sono usati da imprenditrici e imprenditori esperti. Questi studi rendono manifesto il modo in cui l'</w:t>
            </w:r>
            <w:proofErr w:type="spellStart"/>
            <w:r w:rsidRPr="68B97279">
              <w:rPr>
                <w:rFonts w:ascii="Century Gothic" w:eastAsia="Arial Unicode MS" w:hAnsi="Century Gothic"/>
                <w:sz w:val="16"/>
                <w:szCs w:val="16"/>
                <w:lang w:val="it-CH"/>
              </w:rPr>
              <w:t>Effectuation</w:t>
            </w:r>
            <w:proofErr w:type="spellEnd"/>
            <w:r w:rsidRPr="68B97279">
              <w:rPr>
                <w:rFonts w:ascii="Century Gothic" w:eastAsia="Arial Unicode MS" w:hAnsi="Century Gothic"/>
                <w:sz w:val="16"/>
                <w:szCs w:val="16"/>
                <w:lang w:val="it-CH"/>
              </w:rPr>
              <w:t xml:space="preserve"> si realizza concretamente.</w:t>
            </w:r>
          </w:p>
          <w:p w14:paraId="57D66036" w14:textId="3191BAA3" w:rsidR="001B2C92" w:rsidRPr="001807D7" w:rsidRDefault="68B97279" w:rsidP="001807D7">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Tuttavia, i risultati - come tutti i risultati scientifici - non sono conclusivi. È possibile che in futuro vengano identificati altri principi o che quelli attuali non vengano confermati nella stessa misura negli studi futuri.</w:t>
            </w:r>
          </w:p>
        </w:tc>
      </w:tr>
      <w:tr w:rsidR="001B2C92" w:rsidRPr="00B86C49" w14:paraId="7C9CEEDD" w14:textId="77777777" w:rsidTr="68B97279">
        <w:tc>
          <w:tcPr>
            <w:tcW w:w="4536" w:type="dxa"/>
          </w:tcPr>
          <w:p w14:paraId="6C912611"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7A294EA0" wp14:editId="6965DAED">
                  <wp:extent cx="2743198" cy="1543049"/>
                  <wp:effectExtent l="19050" t="19050" r="19685" b="1968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noChangeArrowheads="1"/>
                          </pic:cNvPicPr>
                        </pic:nvPicPr>
                        <pic:blipFill>
                          <a:blip r:embed="rId16"/>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176E46C0" w14:textId="63C8CA98" w:rsidR="001B2C92" w:rsidRPr="00AC2A8F" w:rsidRDefault="68B97279" w:rsidP="001E74EA">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Sono ora presentati i principi dell'</w:t>
            </w:r>
            <w:r w:rsidR="00B86C49">
              <w:rPr>
                <w:rFonts w:ascii="Century Gothic" w:eastAsia="Arial Unicode MS" w:hAnsi="Century Gothic"/>
                <w:sz w:val="16"/>
                <w:szCs w:val="16"/>
                <w:lang w:val="it-CH"/>
              </w:rPr>
              <w:t>approccio effettuale</w:t>
            </w:r>
            <w:r w:rsidRPr="68B97279">
              <w:rPr>
                <w:rFonts w:ascii="Century Gothic" w:eastAsia="Arial Unicode MS" w:hAnsi="Century Gothic"/>
                <w:sz w:val="16"/>
                <w:szCs w:val="16"/>
                <w:lang w:val="it-CH"/>
              </w:rPr>
              <w:t xml:space="preserve"> e una serie di idee su come possono essere sperimentati in modo flessibile durante l'implementazione del programma </w:t>
            </w:r>
            <w:proofErr w:type="spellStart"/>
            <w:r w:rsidRPr="68B97279">
              <w:rPr>
                <w:rFonts w:ascii="Century Gothic" w:eastAsia="Arial Unicode MS" w:hAnsi="Century Gothic"/>
                <w:sz w:val="16"/>
                <w:szCs w:val="16"/>
                <w:lang w:val="it-CH"/>
              </w:rPr>
              <w:t>myidea</w:t>
            </w:r>
            <w:proofErr w:type="spellEnd"/>
            <w:r w:rsidRPr="68B97279">
              <w:rPr>
                <w:rFonts w:ascii="Century Gothic" w:eastAsia="Arial Unicode MS" w:hAnsi="Century Gothic"/>
                <w:sz w:val="16"/>
                <w:szCs w:val="16"/>
                <w:lang w:val="it-CH"/>
              </w:rPr>
              <w:t>. Le idee per l'attuazione non sono affatto esaustive.</w:t>
            </w:r>
          </w:p>
        </w:tc>
      </w:tr>
      <w:tr w:rsidR="001B2C92" w:rsidRPr="0035526C" w14:paraId="77190469" w14:textId="77777777" w:rsidTr="68B97279">
        <w:tc>
          <w:tcPr>
            <w:tcW w:w="4536" w:type="dxa"/>
          </w:tcPr>
          <w:p w14:paraId="2B84A08D"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0EDF4152" wp14:editId="7373BCCC">
                  <wp:extent cx="2743198" cy="1543049"/>
                  <wp:effectExtent l="19050" t="19050" r="19685" b="1968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noChangeArrowheads="1"/>
                          </pic:cNvPicPr>
                        </pic:nvPicPr>
                        <pic:blipFill>
                          <a:blip r:embed="rId17"/>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1A101C43" w14:textId="708CA561" w:rsidR="001B2C92" w:rsidRPr="00AF73AB" w:rsidRDefault="68B97279" w:rsidP="001E74EA">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 xml:space="preserve">Il </w:t>
            </w:r>
            <w:r w:rsidRPr="00B86C49">
              <w:rPr>
                <w:rFonts w:ascii="Century Gothic" w:eastAsia="Arial Unicode MS" w:hAnsi="Century Gothic"/>
                <w:i/>
                <w:iCs/>
                <w:sz w:val="16"/>
                <w:szCs w:val="16"/>
                <w:lang w:val="it-CH"/>
              </w:rPr>
              <w:t>princip</w:t>
            </w:r>
            <w:r w:rsidRPr="68B97279">
              <w:rPr>
                <w:rFonts w:ascii="Century Gothic" w:eastAsia="Arial Unicode MS" w:hAnsi="Century Gothic"/>
                <w:i/>
                <w:iCs/>
                <w:sz w:val="16"/>
                <w:szCs w:val="16"/>
                <w:lang w:val="it-CH"/>
              </w:rPr>
              <w:t>io del</w:t>
            </w:r>
            <w:r w:rsidRPr="68B97279">
              <w:rPr>
                <w:rFonts w:ascii="Century Gothic" w:eastAsia="Arial Unicode MS" w:hAnsi="Century Gothic"/>
                <w:sz w:val="16"/>
                <w:szCs w:val="16"/>
                <w:lang w:val="it-CH"/>
              </w:rPr>
              <w:t xml:space="preserve"> </w:t>
            </w:r>
            <w:r w:rsidRPr="68B97279">
              <w:rPr>
                <w:rFonts w:ascii="Century Gothic" w:eastAsia="Arial Unicode MS" w:hAnsi="Century Gothic"/>
                <w:i/>
                <w:iCs/>
                <w:sz w:val="16"/>
                <w:szCs w:val="16"/>
                <w:lang w:val="it-CH"/>
              </w:rPr>
              <w:t>partire da quello che si ha</w:t>
            </w:r>
            <w:r w:rsidRPr="68B97279">
              <w:rPr>
                <w:rFonts w:ascii="Century Gothic" w:eastAsia="Arial Unicode MS" w:hAnsi="Century Gothic"/>
                <w:sz w:val="16"/>
                <w:szCs w:val="16"/>
                <w:lang w:val="it-CH"/>
              </w:rPr>
              <w:t xml:space="preserve"> (Bird in hand) è uno dei motivi per cui </w:t>
            </w:r>
            <w:proofErr w:type="spellStart"/>
            <w:r w:rsidRPr="68B97279">
              <w:rPr>
                <w:rFonts w:ascii="Century Gothic" w:eastAsia="Arial Unicode MS" w:hAnsi="Century Gothic"/>
                <w:sz w:val="16"/>
                <w:szCs w:val="16"/>
                <w:lang w:val="it-CH"/>
              </w:rPr>
              <w:t>myideaa</w:t>
            </w:r>
            <w:proofErr w:type="spellEnd"/>
            <w:r w:rsidRPr="68B97279">
              <w:rPr>
                <w:rFonts w:ascii="Century Gothic" w:eastAsia="Arial Unicode MS" w:hAnsi="Century Gothic"/>
                <w:sz w:val="16"/>
                <w:szCs w:val="16"/>
                <w:lang w:val="it-CH"/>
              </w:rPr>
              <w:t xml:space="preserve"> può essere usato anche dagli apprendisti più deboli: un'idea imprenditoriale si può sempre basare sulle proprie forze e per quegli aspetti che non si è in grado di realizzare da soli, si possono cercare dei partner.</w:t>
            </w:r>
          </w:p>
        </w:tc>
      </w:tr>
      <w:tr w:rsidR="001B2C92" w:rsidRPr="0035526C" w14:paraId="3BAF5B36" w14:textId="77777777" w:rsidTr="68B97279">
        <w:tc>
          <w:tcPr>
            <w:tcW w:w="4536" w:type="dxa"/>
          </w:tcPr>
          <w:p w14:paraId="15CB3AB1"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lastRenderedPageBreak/>
              <w:drawing>
                <wp:inline distT="0" distB="0" distL="0" distR="0" wp14:anchorId="2636E8F1" wp14:editId="401512EC">
                  <wp:extent cx="2736849" cy="1539478"/>
                  <wp:effectExtent l="19050" t="19050" r="26035" b="2286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noChangeArrowheads="1"/>
                          </pic:cNvPicPr>
                        </pic:nvPicPr>
                        <pic:blipFill>
                          <a:blip r:embed="rId18"/>
                          <a:stretch>
                            <a:fillRect/>
                          </a:stretch>
                        </pic:blipFill>
                        <pic:spPr bwMode="auto">
                          <a:xfrm>
                            <a:off x="0" y="0"/>
                            <a:ext cx="2736849" cy="1539478"/>
                          </a:xfrm>
                          <a:prstGeom prst="rect">
                            <a:avLst/>
                          </a:prstGeom>
                          <a:noFill/>
                          <a:ln>
                            <a:solidFill>
                              <a:schemeClr val="tx1"/>
                            </a:solidFill>
                          </a:ln>
                        </pic:spPr>
                      </pic:pic>
                    </a:graphicData>
                  </a:graphic>
                </wp:inline>
              </w:drawing>
            </w:r>
          </w:p>
        </w:tc>
        <w:tc>
          <w:tcPr>
            <w:tcW w:w="4820" w:type="dxa"/>
          </w:tcPr>
          <w:p w14:paraId="4F820BDB" w14:textId="680AB302" w:rsidR="003B2811" w:rsidRPr="003B2811" w:rsidRDefault="68B97279" w:rsidP="003B2811">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 xml:space="preserve">Il </w:t>
            </w:r>
            <w:r w:rsidRPr="68B97279">
              <w:rPr>
                <w:rFonts w:ascii="Century Gothic" w:eastAsia="Arial Unicode MS" w:hAnsi="Century Gothic"/>
                <w:i/>
                <w:iCs/>
                <w:sz w:val="16"/>
                <w:szCs w:val="16"/>
                <w:lang w:val="it-CH"/>
              </w:rPr>
              <w:t>principio della perdita sostenibile</w:t>
            </w:r>
            <w:r w:rsidRPr="68B97279">
              <w:rPr>
                <w:rFonts w:ascii="Century Gothic" w:eastAsia="Arial Unicode MS" w:hAnsi="Century Gothic"/>
                <w:sz w:val="16"/>
                <w:szCs w:val="16"/>
                <w:lang w:val="it-CH"/>
              </w:rPr>
              <w:t xml:space="preserve"> non protegge dal fallimento, ma può proteggere dai debiti che portano a gravi difficoltà personali e finanziarie.</w:t>
            </w:r>
          </w:p>
          <w:p w14:paraId="366E2C89" w14:textId="38A87C6D" w:rsidR="001B2C92" w:rsidRPr="003B2811" w:rsidRDefault="68B97279" w:rsidP="003B2811">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Dato che una buona parte delle imprese fallisce (si stima che la metà delle imprese dopo cinque anni non è più sul mercato), questo principio rappresenta uno strumento di protezione efficace contro i debiti non più gestibili.</w:t>
            </w:r>
          </w:p>
        </w:tc>
      </w:tr>
      <w:tr w:rsidR="001B2C92" w:rsidRPr="00E31525" w14:paraId="0FC5E929" w14:textId="77777777" w:rsidTr="68B97279">
        <w:tc>
          <w:tcPr>
            <w:tcW w:w="4536" w:type="dxa"/>
          </w:tcPr>
          <w:p w14:paraId="514AFF7B"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5D988EB0" wp14:editId="2B86BA25">
                  <wp:extent cx="2717235" cy="1528444"/>
                  <wp:effectExtent l="19050" t="19050" r="26035" b="1524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noChangeArrowheads="1"/>
                          </pic:cNvPicPr>
                        </pic:nvPicPr>
                        <pic:blipFill>
                          <a:blip r:embed="rId19"/>
                          <a:stretch>
                            <a:fillRect/>
                          </a:stretch>
                        </pic:blipFill>
                        <pic:spPr bwMode="auto">
                          <a:xfrm>
                            <a:off x="0" y="0"/>
                            <a:ext cx="2717235" cy="1528444"/>
                          </a:xfrm>
                          <a:prstGeom prst="rect">
                            <a:avLst/>
                          </a:prstGeom>
                          <a:noFill/>
                          <a:ln>
                            <a:solidFill>
                              <a:schemeClr val="tx1"/>
                            </a:solidFill>
                          </a:ln>
                        </pic:spPr>
                      </pic:pic>
                    </a:graphicData>
                  </a:graphic>
                </wp:inline>
              </w:drawing>
            </w:r>
          </w:p>
        </w:tc>
        <w:tc>
          <w:tcPr>
            <w:tcW w:w="4820" w:type="dxa"/>
          </w:tcPr>
          <w:p w14:paraId="4537FBDB" w14:textId="7D471EC7" w:rsidR="001B2C92" w:rsidRPr="00B86C49" w:rsidRDefault="68B97279" w:rsidP="001E74EA">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 xml:space="preserve">Poiché le persone in formazione creano «solo» un'azienda fittizia, il </w:t>
            </w:r>
            <w:r w:rsidRPr="68B97279">
              <w:rPr>
                <w:rFonts w:ascii="Century Gothic" w:eastAsia="Arial Unicode MS" w:hAnsi="Century Gothic"/>
                <w:i/>
                <w:iCs/>
                <w:sz w:val="16"/>
                <w:szCs w:val="16"/>
                <w:lang w:val="it-CH"/>
              </w:rPr>
              <w:t>principio della perdita sostenibile</w:t>
            </w:r>
            <w:r w:rsidRPr="68B97279">
              <w:rPr>
                <w:rFonts w:ascii="Century Gothic" w:eastAsia="Arial Unicode MS" w:hAnsi="Century Gothic"/>
                <w:sz w:val="16"/>
                <w:szCs w:val="16"/>
                <w:lang w:val="it-CH"/>
              </w:rPr>
              <w:t xml:space="preserve"> può essere implementato soltanto in misura limitata durante il programma </w:t>
            </w:r>
            <w:proofErr w:type="spellStart"/>
            <w:r w:rsidRPr="68B97279">
              <w:rPr>
                <w:rFonts w:ascii="Century Gothic" w:eastAsia="Arial Unicode MS" w:hAnsi="Century Gothic"/>
                <w:sz w:val="16"/>
                <w:szCs w:val="16"/>
                <w:lang w:val="it-CH"/>
              </w:rPr>
              <w:t>myidea</w:t>
            </w:r>
            <w:proofErr w:type="spellEnd"/>
            <w:r w:rsidRPr="68B97279">
              <w:rPr>
                <w:rFonts w:ascii="Century Gothic" w:eastAsia="Arial Unicode MS" w:hAnsi="Century Gothic"/>
                <w:sz w:val="16"/>
                <w:szCs w:val="16"/>
                <w:lang w:val="it-CH"/>
              </w:rPr>
              <w:t>. Tuttavia, le persone in formazione possono chiedersi quanto sono disposti a investire nel programma come team? Anche oltre l'orario della lezione vera e propria.</w:t>
            </w:r>
          </w:p>
        </w:tc>
      </w:tr>
      <w:tr w:rsidR="001B2C92" w:rsidRPr="0035526C" w14:paraId="0B75E78A" w14:textId="77777777" w:rsidTr="68B97279">
        <w:tc>
          <w:tcPr>
            <w:tcW w:w="4536" w:type="dxa"/>
          </w:tcPr>
          <w:p w14:paraId="368E9340"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5BCE27D5" wp14:editId="25FDEA75">
                  <wp:extent cx="2730499" cy="1535906"/>
                  <wp:effectExtent l="19050" t="19050" r="13335" b="2667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a:picLocks noChangeAspect="1" noChangeArrowheads="1"/>
                          </pic:cNvPicPr>
                        </pic:nvPicPr>
                        <pic:blipFill>
                          <a:blip r:embed="rId20"/>
                          <a:stretch>
                            <a:fillRect/>
                          </a:stretch>
                        </pic:blipFill>
                        <pic:spPr bwMode="auto">
                          <a:xfrm>
                            <a:off x="0" y="0"/>
                            <a:ext cx="2730499" cy="1535906"/>
                          </a:xfrm>
                          <a:prstGeom prst="rect">
                            <a:avLst/>
                          </a:prstGeom>
                          <a:noFill/>
                          <a:ln>
                            <a:solidFill>
                              <a:schemeClr val="tx1"/>
                            </a:solidFill>
                          </a:ln>
                        </pic:spPr>
                      </pic:pic>
                    </a:graphicData>
                  </a:graphic>
                </wp:inline>
              </w:drawing>
            </w:r>
          </w:p>
        </w:tc>
        <w:tc>
          <w:tcPr>
            <w:tcW w:w="4820" w:type="dxa"/>
          </w:tcPr>
          <w:p w14:paraId="16B3D16C" w14:textId="3ACD1BB0" w:rsidR="001B2C92" w:rsidRPr="007545CE" w:rsidRDefault="68B97279" w:rsidP="001E74EA">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Un grande vantaggio dell'essere guidati dalle risorse e dai passaggi successivi in ogni caso è che l'imprevisto può essere utilizzato per sviluppare ulteriormente e positivamente la propria idea. Questo richiede una certa apertura, non solo da parte delle persone in formazione. Anche l'insegnante nel corso del programma dovrebbe essere disposto/a ad accettare eventuali cambiamenti di idea delle persone in formazione (anche se le presentazioni finali sono imminenti). Se le persone in formazione sono davvero motivate, la fatica di solito è ripagata.</w:t>
            </w:r>
          </w:p>
        </w:tc>
      </w:tr>
      <w:tr w:rsidR="001B2C92" w:rsidRPr="0035526C" w14:paraId="6D8E1AA2" w14:textId="77777777" w:rsidTr="68B97279">
        <w:tc>
          <w:tcPr>
            <w:tcW w:w="4536" w:type="dxa"/>
          </w:tcPr>
          <w:p w14:paraId="454061AA"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02A86A37" wp14:editId="7CF9CF37">
                  <wp:extent cx="2736849" cy="1539478"/>
                  <wp:effectExtent l="19050" t="19050" r="26035" b="2286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21"/>
                          <a:stretch>
                            <a:fillRect/>
                          </a:stretch>
                        </pic:blipFill>
                        <pic:spPr bwMode="auto">
                          <a:xfrm>
                            <a:off x="0" y="0"/>
                            <a:ext cx="2736849" cy="1539478"/>
                          </a:xfrm>
                          <a:prstGeom prst="rect">
                            <a:avLst/>
                          </a:prstGeom>
                          <a:noFill/>
                          <a:ln>
                            <a:solidFill>
                              <a:schemeClr val="tx1"/>
                            </a:solidFill>
                          </a:ln>
                        </pic:spPr>
                      </pic:pic>
                    </a:graphicData>
                  </a:graphic>
                </wp:inline>
              </w:drawing>
            </w:r>
          </w:p>
        </w:tc>
        <w:tc>
          <w:tcPr>
            <w:tcW w:w="4820" w:type="dxa"/>
          </w:tcPr>
          <w:p w14:paraId="51EF8A01" w14:textId="1084DA44" w:rsidR="001B2C92" w:rsidRPr="00FF0FF6" w:rsidRDefault="68B97279" w:rsidP="001E74EA">
            <w:pPr>
              <w:spacing w:before="120" w:after="40"/>
              <w:rPr>
                <w:rFonts w:ascii="Century Gothic" w:eastAsia="Arial Unicode MS" w:hAnsi="Century Gothic"/>
                <w:sz w:val="16"/>
                <w:szCs w:val="16"/>
                <w:lang w:val="it-CH"/>
              </w:rPr>
            </w:pPr>
            <w:proofErr w:type="gramStart"/>
            <w:r w:rsidRPr="68B97279">
              <w:rPr>
                <w:rFonts w:ascii="Century Gothic" w:eastAsia="Arial Unicode MS" w:hAnsi="Century Gothic"/>
                <w:sz w:val="16"/>
                <w:szCs w:val="16"/>
                <w:lang w:val="it-CH"/>
              </w:rPr>
              <w:t>Quasi ogni team</w:t>
            </w:r>
            <w:proofErr w:type="gramEnd"/>
            <w:r w:rsidRPr="68B97279">
              <w:rPr>
                <w:rFonts w:ascii="Century Gothic" w:eastAsia="Arial Unicode MS" w:hAnsi="Century Gothic"/>
                <w:sz w:val="16"/>
                <w:szCs w:val="16"/>
                <w:lang w:val="it-CH"/>
              </w:rPr>
              <w:t xml:space="preserve"> si troverà di fronte a feedback negativi. È comprensibile che all'inizio questo possa essere demotivante. Tuttavia, il passo successivo dovrebbe essere quello di considerare - con il supporto dell'insegnante - se i </w:t>
            </w:r>
            <w:proofErr w:type="gramStart"/>
            <w:r w:rsidRPr="68B97279">
              <w:rPr>
                <w:rFonts w:ascii="Century Gothic" w:eastAsia="Arial Unicode MS" w:hAnsi="Century Gothic"/>
                <w:sz w:val="16"/>
                <w:szCs w:val="16"/>
                <w:lang w:val="it-CH"/>
              </w:rPr>
              <w:t>feedback</w:t>
            </w:r>
            <w:proofErr w:type="gramEnd"/>
            <w:r w:rsidRPr="68B97279">
              <w:rPr>
                <w:rFonts w:ascii="Century Gothic" w:eastAsia="Arial Unicode MS" w:hAnsi="Century Gothic"/>
                <w:sz w:val="16"/>
                <w:szCs w:val="16"/>
                <w:lang w:val="it-CH"/>
              </w:rPr>
              <w:t xml:space="preserve"> negativi possono essere reinterpretati e utilizzati per sviluppare ulteriormente l'idea.</w:t>
            </w:r>
          </w:p>
        </w:tc>
      </w:tr>
      <w:tr w:rsidR="001B2C92" w:rsidRPr="0035526C" w14:paraId="527578A5" w14:textId="77777777" w:rsidTr="68B97279">
        <w:tc>
          <w:tcPr>
            <w:tcW w:w="4536" w:type="dxa"/>
          </w:tcPr>
          <w:p w14:paraId="7FA0A39F"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0F5F084B" wp14:editId="138E17F5">
                  <wp:extent cx="2736849" cy="1539478"/>
                  <wp:effectExtent l="19050" t="19050" r="26035" b="2286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a:picLocks noChangeAspect="1" noChangeArrowheads="1"/>
                          </pic:cNvPicPr>
                        </pic:nvPicPr>
                        <pic:blipFill>
                          <a:blip r:embed="rId22"/>
                          <a:stretch>
                            <a:fillRect/>
                          </a:stretch>
                        </pic:blipFill>
                        <pic:spPr bwMode="auto">
                          <a:xfrm>
                            <a:off x="0" y="0"/>
                            <a:ext cx="2736849" cy="1539478"/>
                          </a:xfrm>
                          <a:prstGeom prst="rect">
                            <a:avLst/>
                          </a:prstGeom>
                          <a:noFill/>
                          <a:ln>
                            <a:solidFill>
                              <a:schemeClr val="tx1"/>
                            </a:solidFill>
                          </a:ln>
                        </pic:spPr>
                      </pic:pic>
                    </a:graphicData>
                  </a:graphic>
                </wp:inline>
              </w:drawing>
            </w:r>
          </w:p>
        </w:tc>
        <w:tc>
          <w:tcPr>
            <w:tcW w:w="4820" w:type="dxa"/>
          </w:tcPr>
          <w:p w14:paraId="56946B9A" w14:textId="77777777" w:rsidR="00B93292" w:rsidRPr="00B93292" w:rsidRDefault="00B93292" w:rsidP="00B93292">
            <w:pPr>
              <w:spacing w:before="120" w:after="40"/>
              <w:rPr>
                <w:rFonts w:ascii="Century Gothic" w:eastAsia="Arial Unicode MS" w:hAnsi="Century Gothic"/>
                <w:sz w:val="16"/>
                <w:szCs w:val="16"/>
                <w:lang w:val="it-CH"/>
              </w:rPr>
            </w:pPr>
            <w:r w:rsidRPr="00B93292">
              <w:rPr>
                <w:rFonts w:ascii="Century Gothic" w:eastAsia="Arial Unicode MS" w:hAnsi="Century Gothic"/>
                <w:sz w:val="16"/>
                <w:szCs w:val="16"/>
                <w:lang w:val="it-CH"/>
              </w:rPr>
              <w:t xml:space="preserve">Le partnership possono determinare il successo di un'azienda. Attraverso le collaborazioni con partner, si possono ottenere nuove risorse o aprire nuovi mercati. </w:t>
            </w:r>
          </w:p>
          <w:p w14:paraId="586FC215" w14:textId="6640851D" w:rsidR="001B2C92" w:rsidRPr="00B93292" w:rsidRDefault="68B97279" w:rsidP="00B93292">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 xml:space="preserve">Le persone in formazione dovrebbero quindi pensare seriamente con chi potrebbero collaborare, quali attività a valore aggiunto intraprenderebbero in prima persona e quali no. Il principio di «fondare con </w:t>
            </w:r>
            <w:r w:rsidR="00B87433">
              <w:rPr>
                <w:rFonts w:ascii="Century Gothic" w:eastAsia="Arial Unicode MS" w:hAnsi="Century Gothic"/>
                <w:sz w:val="16"/>
                <w:szCs w:val="16"/>
                <w:lang w:val="it-CH"/>
              </w:rPr>
              <w:t>terze parti</w:t>
            </w:r>
            <w:r w:rsidRPr="68B97279">
              <w:rPr>
                <w:rFonts w:ascii="Century Gothic" w:eastAsia="Arial Unicode MS" w:hAnsi="Century Gothic"/>
                <w:sz w:val="16"/>
                <w:szCs w:val="16"/>
                <w:lang w:val="it-CH"/>
              </w:rPr>
              <w:t>» va in una direzione simile.</w:t>
            </w:r>
          </w:p>
        </w:tc>
      </w:tr>
      <w:tr w:rsidR="001B2C92" w:rsidRPr="0035526C" w14:paraId="52FEE8DD" w14:textId="77777777" w:rsidTr="68B97279">
        <w:tc>
          <w:tcPr>
            <w:tcW w:w="4536" w:type="dxa"/>
          </w:tcPr>
          <w:p w14:paraId="7FA223AF"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lastRenderedPageBreak/>
              <w:drawing>
                <wp:inline distT="0" distB="0" distL="0" distR="0" wp14:anchorId="35DA2208" wp14:editId="6A6EFD37">
                  <wp:extent cx="2743198" cy="1543049"/>
                  <wp:effectExtent l="19050" t="19050" r="19685" b="1968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a:picLocks noChangeAspect="1" noChangeArrowheads="1"/>
                          </pic:cNvPicPr>
                        </pic:nvPicPr>
                        <pic:blipFill>
                          <a:blip r:embed="rId23"/>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0A3FF74D" w14:textId="487A60FB" w:rsidR="001B2C92" w:rsidRPr="007A7DA3" w:rsidRDefault="68B97279" w:rsidP="001E74EA">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 xml:space="preserve">Il tempo per l'implementazione di </w:t>
            </w:r>
            <w:proofErr w:type="spellStart"/>
            <w:r w:rsidRPr="68B97279">
              <w:rPr>
                <w:rFonts w:ascii="Century Gothic" w:eastAsia="Arial Unicode MS" w:hAnsi="Century Gothic"/>
                <w:sz w:val="16"/>
                <w:szCs w:val="16"/>
                <w:lang w:val="it-CH"/>
              </w:rPr>
              <w:t>myidea</w:t>
            </w:r>
            <w:proofErr w:type="spellEnd"/>
            <w:r w:rsidRPr="68B97279">
              <w:rPr>
                <w:rFonts w:ascii="Century Gothic" w:eastAsia="Arial Unicode MS" w:hAnsi="Century Gothic"/>
                <w:sz w:val="16"/>
                <w:szCs w:val="16"/>
                <w:lang w:val="it-CH"/>
              </w:rPr>
              <w:t xml:space="preserve"> solitamente è limitato. Per le persone in formazione però potrebbe essere estremamente motivante parlare con imprenditrici e imprenditori potenziali partner. Le persone in formazione spesso si rendono conto che loro stesse e le loro idee sono prese sul serio.</w:t>
            </w:r>
          </w:p>
        </w:tc>
      </w:tr>
      <w:tr w:rsidR="001B2C92" w:rsidRPr="0035526C" w14:paraId="25A46CD6" w14:textId="77777777" w:rsidTr="68B97279">
        <w:tc>
          <w:tcPr>
            <w:tcW w:w="4536" w:type="dxa"/>
          </w:tcPr>
          <w:p w14:paraId="1838405A"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34B592B8" wp14:editId="5C3D018B">
                  <wp:extent cx="2736849" cy="1539478"/>
                  <wp:effectExtent l="19050" t="19050" r="26035" b="2286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24"/>
                          <a:stretch>
                            <a:fillRect/>
                          </a:stretch>
                        </pic:blipFill>
                        <pic:spPr bwMode="auto">
                          <a:xfrm>
                            <a:off x="0" y="0"/>
                            <a:ext cx="2736849" cy="1539478"/>
                          </a:xfrm>
                          <a:prstGeom prst="rect">
                            <a:avLst/>
                          </a:prstGeom>
                          <a:noFill/>
                          <a:ln>
                            <a:solidFill>
                              <a:schemeClr val="tx1"/>
                            </a:solidFill>
                          </a:ln>
                        </pic:spPr>
                      </pic:pic>
                    </a:graphicData>
                  </a:graphic>
                </wp:inline>
              </w:drawing>
            </w:r>
          </w:p>
        </w:tc>
        <w:tc>
          <w:tcPr>
            <w:tcW w:w="4820" w:type="dxa"/>
          </w:tcPr>
          <w:p w14:paraId="007A1BF6" w14:textId="139F8399" w:rsidR="007A7DA3" w:rsidRPr="007A7DA3" w:rsidRDefault="68B97279" w:rsidP="007A7DA3">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Qui si può nuovamente sottolineare che alla fine tutti e quattro i principi o euristiche hanno una cosa in comune: si tratta di comprendere e capire l'incertezza nella quale operano le imprenditrici e gli imprenditori e di pensare a come agire nonostante l'incertezza.</w:t>
            </w:r>
          </w:p>
          <w:p w14:paraId="41097CE9" w14:textId="37A67C0B" w:rsidR="001B2C92" w:rsidRPr="007A7DA3" w:rsidRDefault="68B97279" w:rsidP="007A7DA3">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en-US"/>
              </w:rPr>
              <w:t xml:space="preserve">Il motto è: </w:t>
            </w:r>
            <w:r w:rsidRPr="68B97279">
              <w:rPr>
                <w:rFonts w:ascii="Century Gothic" w:eastAsia="Arial Unicode MS" w:hAnsi="Century Gothic"/>
                <w:sz w:val="16"/>
                <w:szCs w:val="16"/>
                <w:lang w:val="en-GB"/>
              </w:rPr>
              <w:t xml:space="preserve">« If I can control the future, I do not need to predict </w:t>
            </w:r>
            <w:proofErr w:type="gramStart"/>
            <w:r w:rsidRPr="68B97279">
              <w:rPr>
                <w:rFonts w:ascii="Century Gothic" w:eastAsia="Arial Unicode MS" w:hAnsi="Century Gothic"/>
                <w:sz w:val="16"/>
                <w:szCs w:val="16"/>
                <w:lang w:val="en-GB"/>
              </w:rPr>
              <w:t>it.»</w:t>
            </w:r>
            <w:proofErr w:type="gramEnd"/>
            <w:r w:rsidRPr="68B97279">
              <w:rPr>
                <w:rFonts w:ascii="Century Gothic" w:eastAsia="Arial Unicode MS" w:hAnsi="Century Gothic"/>
                <w:sz w:val="16"/>
                <w:szCs w:val="16"/>
                <w:lang w:val="en-GB"/>
              </w:rPr>
              <w:t xml:space="preserve"> </w:t>
            </w:r>
            <w:r w:rsidRPr="68B97279">
              <w:rPr>
                <w:rFonts w:ascii="Century Gothic" w:eastAsia="Arial Unicode MS" w:hAnsi="Century Gothic"/>
                <w:sz w:val="16"/>
                <w:szCs w:val="16"/>
                <w:lang w:val="it-CH"/>
              </w:rPr>
              <w:t>(Se posso controllare il futuro, non ho bisogno di prevederlo).</w:t>
            </w:r>
          </w:p>
          <w:p w14:paraId="2409C3AC" w14:textId="74FED38B" w:rsidR="001B2C92" w:rsidRPr="00B86C49" w:rsidRDefault="001B2C92" w:rsidP="001E74EA">
            <w:pPr>
              <w:spacing w:before="120" w:after="40"/>
              <w:rPr>
                <w:rFonts w:ascii="Century Gothic" w:eastAsia="Arial Unicode MS" w:hAnsi="Century Gothic"/>
                <w:sz w:val="16"/>
                <w:szCs w:val="16"/>
                <w:lang w:val="it-CH"/>
              </w:rPr>
            </w:pPr>
          </w:p>
        </w:tc>
      </w:tr>
      <w:tr w:rsidR="001B2C92" w:rsidRPr="0035526C" w14:paraId="438656CD" w14:textId="77777777" w:rsidTr="68B97279">
        <w:tc>
          <w:tcPr>
            <w:tcW w:w="4536" w:type="dxa"/>
          </w:tcPr>
          <w:p w14:paraId="2FF00EEE"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5249D682" wp14:editId="3771E942">
                  <wp:extent cx="2736213" cy="1539120"/>
                  <wp:effectExtent l="19050" t="19050" r="26670" b="2349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a:picLocks noChangeAspect="1" noChangeArrowheads="1"/>
                          </pic:cNvPicPr>
                        </pic:nvPicPr>
                        <pic:blipFill>
                          <a:blip r:embed="rId25"/>
                          <a:stretch>
                            <a:fillRect/>
                          </a:stretch>
                        </pic:blipFill>
                        <pic:spPr bwMode="auto">
                          <a:xfrm>
                            <a:off x="0" y="0"/>
                            <a:ext cx="2736213" cy="1539120"/>
                          </a:xfrm>
                          <a:prstGeom prst="rect">
                            <a:avLst/>
                          </a:prstGeom>
                          <a:noFill/>
                          <a:ln>
                            <a:solidFill>
                              <a:schemeClr val="tx1"/>
                            </a:solidFill>
                          </a:ln>
                        </pic:spPr>
                      </pic:pic>
                    </a:graphicData>
                  </a:graphic>
                </wp:inline>
              </w:drawing>
            </w:r>
          </w:p>
        </w:tc>
        <w:tc>
          <w:tcPr>
            <w:tcW w:w="4820" w:type="dxa"/>
          </w:tcPr>
          <w:p w14:paraId="7F498BD5" w14:textId="66A4A79E" w:rsidR="001B2C92" w:rsidRPr="007A7DA3" w:rsidRDefault="68B97279" w:rsidP="001E74EA">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Alla fine, servendosi dei due digrammi, si possono illustrare le differenze tra l'approccio causale e l'approccio effettuale e si può anche spiegare che i nostri sistemi educativi enfatizzano e prediligono l'approccio causale.</w:t>
            </w:r>
          </w:p>
        </w:tc>
      </w:tr>
      <w:tr w:rsidR="001B2C92" w:rsidRPr="0035526C" w14:paraId="07746CE0" w14:textId="77777777" w:rsidTr="68B97279">
        <w:tc>
          <w:tcPr>
            <w:tcW w:w="4536" w:type="dxa"/>
          </w:tcPr>
          <w:p w14:paraId="13BCCA05"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0EC19E0E" wp14:editId="55002A36">
                  <wp:extent cx="2736213" cy="1539120"/>
                  <wp:effectExtent l="19050" t="19050" r="26670" b="2349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a:picLocks noChangeAspect="1" noChangeArrowheads="1"/>
                          </pic:cNvPicPr>
                        </pic:nvPicPr>
                        <pic:blipFill>
                          <a:blip r:embed="rId26"/>
                          <a:stretch>
                            <a:fillRect/>
                          </a:stretch>
                        </pic:blipFill>
                        <pic:spPr bwMode="auto">
                          <a:xfrm>
                            <a:off x="0" y="0"/>
                            <a:ext cx="2736213" cy="1539120"/>
                          </a:xfrm>
                          <a:prstGeom prst="rect">
                            <a:avLst/>
                          </a:prstGeom>
                          <a:noFill/>
                          <a:ln>
                            <a:solidFill>
                              <a:schemeClr val="tx1"/>
                            </a:solidFill>
                          </a:ln>
                        </pic:spPr>
                      </pic:pic>
                    </a:graphicData>
                  </a:graphic>
                </wp:inline>
              </w:drawing>
            </w:r>
          </w:p>
        </w:tc>
        <w:tc>
          <w:tcPr>
            <w:tcW w:w="4820" w:type="dxa"/>
          </w:tcPr>
          <w:p w14:paraId="4C9EE999" w14:textId="14D9C725" w:rsidR="00A8191C" w:rsidRPr="006A3AD9" w:rsidRDefault="68B97279" w:rsidP="001E74EA">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Le persone in formazione devono essere incoraggiate ad agire, a diventare attive. Tuttavia, gli approcci esplorativi di solito sono trascurati. Pertanto, a volte i docenti e le docenti trovano difficile sostenere le persone in formazione in questo processo.</w:t>
            </w:r>
          </w:p>
        </w:tc>
      </w:tr>
      <w:bookmarkEnd w:id="0"/>
    </w:tbl>
    <w:p w14:paraId="64DF0761" w14:textId="77777777" w:rsidR="001B2C92" w:rsidRPr="006A3AD9" w:rsidRDefault="001B2C92" w:rsidP="006F630F">
      <w:pPr>
        <w:spacing w:line="360" w:lineRule="auto"/>
        <w:jc w:val="center"/>
        <w:rPr>
          <w:rFonts w:ascii="Century Gothic" w:hAnsi="Century Gothic"/>
          <w:b/>
          <w:sz w:val="22"/>
          <w:szCs w:val="22"/>
          <w:lang w:val="it-CH"/>
        </w:rPr>
      </w:pPr>
    </w:p>
    <w:sectPr w:rsidR="001B2C92" w:rsidRPr="006A3AD9" w:rsidSect="00564E2A">
      <w:footerReference w:type="default" r:id="rId27"/>
      <w:headerReference w:type="first" r:id="rId28"/>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A0E3E" w14:textId="77777777" w:rsidR="00696137" w:rsidRDefault="00696137">
      <w:r>
        <w:separator/>
      </w:r>
    </w:p>
  </w:endnote>
  <w:endnote w:type="continuationSeparator" w:id="0">
    <w:p w14:paraId="788B3B59" w14:textId="77777777" w:rsidR="00696137" w:rsidRDefault="00696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Vrinda">
    <w:altName w:val="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40321456"/>
      <w:docPartObj>
        <w:docPartGallery w:val="Page Numbers (Bottom of Page)"/>
        <w:docPartUnique/>
      </w:docPartObj>
    </w:sdtPr>
    <w:sdtEndPr/>
    <w:sdtContent>
      <w:p w14:paraId="69C00E08" w14:textId="18791E07" w:rsidR="009C6094" w:rsidRPr="00410D6B" w:rsidRDefault="00B93292" w:rsidP="00E90C32">
        <w:pPr>
          <w:pStyle w:val="Fuzeile"/>
          <w:jc w:val="right"/>
          <w:rPr>
            <w:rFonts w:ascii="Century Gothic" w:hAnsi="Century Gothic"/>
            <w:sz w:val="20"/>
            <w:szCs w:val="20"/>
          </w:rPr>
        </w:pPr>
        <w:r>
          <w:rPr>
            <w:rFonts w:ascii="Century Gothic" w:hAnsi="Century Gothic"/>
            <w:sz w:val="20"/>
            <w:szCs w:val="20"/>
          </w:rPr>
          <w:t>Pagina</w:t>
        </w:r>
        <w:r w:rsidR="009C6094" w:rsidRPr="00410D6B">
          <w:rPr>
            <w:rFonts w:ascii="Century Gothic" w:hAnsi="Century Gothic"/>
            <w:sz w:val="20"/>
            <w:szCs w:val="20"/>
          </w:rPr>
          <w:t xml:space="preserve"> </w:t>
        </w:r>
        <w:r w:rsidR="004A039E" w:rsidRPr="00410D6B">
          <w:rPr>
            <w:rFonts w:ascii="Century Gothic" w:hAnsi="Century Gothic"/>
            <w:sz w:val="20"/>
            <w:szCs w:val="20"/>
          </w:rPr>
          <w:fldChar w:fldCharType="begin"/>
        </w:r>
        <w:r w:rsidR="009C6094" w:rsidRPr="00410D6B">
          <w:rPr>
            <w:rFonts w:ascii="Century Gothic" w:hAnsi="Century Gothic"/>
            <w:sz w:val="20"/>
            <w:szCs w:val="20"/>
          </w:rPr>
          <w:instrText>PAGE   \* MERGEFORMAT</w:instrText>
        </w:r>
        <w:r w:rsidR="004A039E" w:rsidRPr="00410D6B">
          <w:rPr>
            <w:rFonts w:ascii="Century Gothic" w:hAnsi="Century Gothic"/>
            <w:sz w:val="20"/>
            <w:szCs w:val="20"/>
          </w:rPr>
          <w:fldChar w:fldCharType="separate"/>
        </w:r>
        <w:r w:rsidR="001032F1" w:rsidRPr="00410D6B">
          <w:rPr>
            <w:rFonts w:ascii="Century Gothic" w:hAnsi="Century Gothic"/>
            <w:noProof/>
            <w:sz w:val="20"/>
            <w:szCs w:val="20"/>
          </w:rPr>
          <w:t>2</w:t>
        </w:r>
        <w:r w:rsidR="004A039E" w:rsidRPr="00410D6B">
          <w:rPr>
            <w:rFonts w:ascii="Century Gothic" w:hAnsi="Century Gothic"/>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FA8EC" w14:textId="77777777" w:rsidR="00696137" w:rsidRDefault="00696137">
      <w:r>
        <w:separator/>
      </w:r>
    </w:p>
  </w:footnote>
  <w:footnote w:type="continuationSeparator" w:id="0">
    <w:p w14:paraId="5078D3ED" w14:textId="77777777" w:rsidR="00696137" w:rsidRDefault="006961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CB1D" w14:textId="77777777" w:rsidR="009C6094" w:rsidRDefault="009C609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5" w15:restartNumberingAfterBreak="0">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15:restartNumberingAfterBreak="0">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BD904B5"/>
    <w:multiLevelType w:val="hybridMultilevel"/>
    <w:tmpl w:val="7FF41238"/>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2" w15:restartNumberingAfterBreak="0">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2"/>
  </w:num>
  <w:num w:numId="5">
    <w:abstractNumId w:val="10"/>
  </w:num>
  <w:num w:numId="6">
    <w:abstractNumId w:val="9"/>
  </w:num>
  <w:num w:numId="7">
    <w:abstractNumId w:val="3"/>
  </w:num>
  <w:num w:numId="8">
    <w:abstractNumId w:val="6"/>
  </w:num>
  <w:num w:numId="9">
    <w:abstractNumId w:val="8"/>
  </w:num>
  <w:num w:numId="10">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10"/>
    <w:rsid w:val="000007CD"/>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C27EE"/>
    <w:rsid w:val="000C2CCF"/>
    <w:rsid w:val="000C4E98"/>
    <w:rsid w:val="000C7692"/>
    <w:rsid w:val="000D0571"/>
    <w:rsid w:val="000D2B7D"/>
    <w:rsid w:val="000D2E35"/>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76EC8"/>
    <w:rsid w:val="001805D8"/>
    <w:rsid w:val="001807D7"/>
    <w:rsid w:val="001824E9"/>
    <w:rsid w:val="00182CC5"/>
    <w:rsid w:val="001876FE"/>
    <w:rsid w:val="00192377"/>
    <w:rsid w:val="001A24D9"/>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1C75"/>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E392A"/>
    <w:rsid w:val="002E6749"/>
    <w:rsid w:val="002F0A85"/>
    <w:rsid w:val="002F1276"/>
    <w:rsid w:val="002F3097"/>
    <w:rsid w:val="002F3A18"/>
    <w:rsid w:val="002F66F3"/>
    <w:rsid w:val="002F76ED"/>
    <w:rsid w:val="003010C5"/>
    <w:rsid w:val="00304DE5"/>
    <w:rsid w:val="00307A98"/>
    <w:rsid w:val="00311369"/>
    <w:rsid w:val="00315645"/>
    <w:rsid w:val="00315DDC"/>
    <w:rsid w:val="00317B25"/>
    <w:rsid w:val="00320424"/>
    <w:rsid w:val="00322756"/>
    <w:rsid w:val="00323E3C"/>
    <w:rsid w:val="003343A6"/>
    <w:rsid w:val="00335BFC"/>
    <w:rsid w:val="003367FF"/>
    <w:rsid w:val="0034129D"/>
    <w:rsid w:val="003434E3"/>
    <w:rsid w:val="00351F61"/>
    <w:rsid w:val="0035526C"/>
    <w:rsid w:val="00356FAF"/>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2811"/>
    <w:rsid w:val="003B37C4"/>
    <w:rsid w:val="003C0A51"/>
    <w:rsid w:val="003D4DF4"/>
    <w:rsid w:val="003D6BAE"/>
    <w:rsid w:val="003E512D"/>
    <w:rsid w:val="003E69A6"/>
    <w:rsid w:val="003F5AA3"/>
    <w:rsid w:val="003F60CD"/>
    <w:rsid w:val="00401B35"/>
    <w:rsid w:val="00403292"/>
    <w:rsid w:val="004045EF"/>
    <w:rsid w:val="00404880"/>
    <w:rsid w:val="00406A49"/>
    <w:rsid w:val="00410A3D"/>
    <w:rsid w:val="00410D6B"/>
    <w:rsid w:val="00411C37"/>
    <w:rsid w:val="004135B9"/>
    <w:rsid w:val="0041368D"/>
    <w:rsid w:val="00414174"/>
    <w:rsid w:val="00414FD0"/>
    <w:rsid w:val="004151A7"/>
    <w:rsid w:val="0041523A"/>
    <w:rsid w:val="00421C98"/>
    <w:rsid w:val="00422D08"/>
    <w:rsid w:val="00424013"/>
    <w:rsid w:val="004303C1"/>
    <w:rsid w:val="00432562"/>
    <w:rsid w:val="00433CD3"/>
    <w:rsid w:val="00436230"/>
    <w:rsid w:val="00443F8B"/>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42BD"/>
    <w:rsid w:val="004E7F27"/>
    <w:rsid w:val="004F00E4"/>
    <w:rsid w:val="004F3193"/>
    <w:rsid w:val="004F3777"/>
    <w:rsid w:val="004F61A7"/>
    <w:rsid w:val="004F798A"/>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3B1F"/>
    <w:rsid w:val="00564E2A"/>
    <w:rsid w:val="00565866"/>
    <w:rsid w:val="00567A25"/>
    <w:rsid w:val="00567AEB"/>
    <w:rsid w:val="00574194"/>
    <w:rsid w:val="00575F50"/>
    <w:rsid w:val="005767E9"/>
    <w:rsid w:val="00581620"/>
    <w:rsid w:val="00582DB3"/>
    <w:rsid w:val="00586445"/>
    <w:rsid w:val="00591C16"/>
    <w:rsid w:val="00592870"/>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E533C"/>
    <w:rsid w:val="005F08AD"/>
    <w:rsid w:val="005F2518"/>
    <w:rsid w:val="005F319B"/>
    <w:rsid w:val="0060099B"/>
    <w:rsid w:val="00600C43"/>
    <w:rsid w:val="00602BE8"/>
    <w:rsid w:val="00602FCB"/>
    <w:rsid w:val="00603AB6"/>
    <w:rsid w:val="00606369"/>
    <w:rsid w:val="00607922"/>
    <w:rsid w:val="00612D0C"/>
    <w:rsid w:val="00613234"/>
    <w:rsid w:val="00617F14"/>
    <w:rsid w:val="00621C8D"/>
    <w:rsid w:val="00622617"/>
    <w:rsid w:val="00624C56"/>
    <w:rsid w:val="00625691"/>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35D4"/>
    <w:rsid w:val="006940FC"/>
    <w:rsid w:val="006944E7"/>
    <w:rsid w:val="006960AD"/>
    <w:rsid w:val="00696137"/>
    <w:rsid w:val="006A2445"/>
    <w:rsid w:val="006A28DE"/>
    <w:rsid w:val="006A3AD9"/>
    <w:rsid w:val="006A6EDB"/>
    <w:rsid w:val="006B1900"/>
    <w:rsid w:val="006B2993"/>
    <w:rsid w:val="006B37DE"/>
    <w:rsid w:val="006B7BC2"/>
    <w:rsid w:val="006B7DD8"/>
    <w:rsid w:val="006C36B8"/>
    <w:rsid w:val="006C4201"/>
    <w:rsid w:val="006D2FB9"/>
    <w:rsid w:val="006E706E"/>
    <w:rsid w:val="006F2147"/>
    <w:rsid w:val="006F4213"/>
    <w:rsid w:val="006F610B"/>
    <w:rsid w:val="006F627D"/>
    <w:rsid w:val="006F630F"/>
    <w:rsid w:val="00701F77"/>
    <w:rsid w:val="00703F01"/>
    <w:rsid w:val="0070482A"/>
    <w:rsid w:val="00710723"/>
    <w:rsid w:val="00711291"/>
    <w:rsid w:val="00713ADB"/>
    <w:rsid w:val="00716FF9"/>
    <w:rsid w:val="00720991"/>
    <w:rsid w:val="00724844"/>
    <w:rsid w:val="00726D45"/>
    <w:rsid w:val="007301D9"/>
    <w:rsid w:val="00731B64"/>
    <w:rsid w:val="00737F6F"/>
    <w:rsid w:val="0074063C"/>
    <w:rsid w:val="00740DEF"/>
    <w:rsid w:val="007424D9"/>
    <w:rsid w:val="00747C4E"/>
    <w:rsid w:val="0075235E"/>
    <w:rsid w:val="007545C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A7DA3"/>
    <w:rsid w:val="007B04B1"/>
    <w:rsid w:val="007B2C36"/>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48B6"/>
    <w:rsid w:val="00805150"/>
    <w:rsid w:val="008059B8"/>
    <w:rsid w:val="00806C1F"/>
    <w:rsid w:val="00806DFD"/>
    <w:rsid w:val="0081153A"/>
    <w:rsid w:val="00811D56"/>
    <w:rsid w:val="00812735"/>
    <w:rsid w:val="00812967"/>
    <w:rsid w:val="008143FB"/>
    <w:rsid w:val="00817D68"/>
    <w:rsid w:val="00817DC4"/>
    <w:rsid w:val="008211C3"/>
    <w:rsid w:val="00825056"/>
    <w:rsid w:val="00833BBB"/>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B097E"/>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74C1"/>
    <w:rsid w:val="009B789C"/>
    <w:rsid w:val="009B7C94"/>
    <w:rsid w:val="009C208A"/>
    <w:rsid w:val="009C5477"/>
    <w:rsid w:val="009C6094"/>
    <w:rsid w:val="009D0445"/>
    <w:rsid w:val="009D1049"/>
    <w:rsid w:val="009D210D"/>
    <w:rsid w:val="009E16E1"/>
    <w:rsid w:val="009E1806"/>
    <w:rsid w:val="009E37E7"/>
    <w:rsid w:val="009E48E6"/>
    <w:rsid w:val="009E52E8"/>
    <w:rsid w:val="009E6679"/>
    <w:rsid w:val="009F23DD"/>
    <w:rsid w:val="009F35BE"/>
    <w:rsid w:val="009F6904"/>
    <w:rsid w:val="00A01754"/>
    <w:rsid w:val="00A04164"/>
    <w:rsid w:val="00A062CC"/>
    <w:rsid w:val="00A0680F"/>
    <w:rsid w:val="00A06CB0"/>
    <w:rsid w:val="00A070A8"/>
    <w:rsid w:val="00A079B1"/>
    <w:rsid w:val="00A1053F"/>
    <w:rsid w:val="00A10F15"/>
    <w:rsid w:val="00A141B4"/>
    <w:rsid w:val="00A142B5"/>
    <w:rsid w:val="00A168B3"/>
    <w:rsid w:val="00A16D9C"/>
    <w:rsid w:val="00A24A07"/>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3F92"/>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2A8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AF73AB"/>
    <w:rsid w:val="00B01259"/>
    <w:rsid w:val="00B02B8E"/>
    <w:rsid w:val="00B03540"/>
    <w:rsid w:val="00B05D60"/>
    <w:rsid w:val="00B161A7"/>
    <w:rsid w:val="00B1655F"/>
    <w:rsid w:val="00B16CCE"/>
    <w:rsid w:val="00B22A74"/>
    <w:rsid w:val="00B23008"/>
    <w:rsid w:val="00B23869"/>
    <w:rsid w:val="00B23B8E"/>
    <w:rsid w:val="00B2610B"/>
    <w:rsid w:val="00B279DD"/>
    <w:rsid w:val="00B3177F"/>
    <w:rsid w:val="00B36EDD"/>
    <w:rsid w:val="00B42D71"/>
    <w:rsid w:val="00B45DF9"/>
    <w:rsid w:val="00B51663"/>
    <w:rsid w:val="00B5171F"/>
    <w:rsid w:val="00B5202C"/>
    <w:rsid w:val="00B5203E"/>
    <w:rsid w:val="00B530D6"/>
    <w:rsid w:val="00B54E9E"/>
    <w:rsid w:val="00B60077"/>
    <w:rsid w:val="00B61ACE"/>
    <w:rsid w:val="00B62D8D"/>
    <w:rsid w:val="00B64790"/>
    <w:rsid w:val="00B70F71"/>
    <w:rsid w:val="00B72567"/>
    <w:rsid w:val="00B73369"/>
    <w:rsid w:val="00B77403"/>
    <w:rsid w:val="00B8423B"/>
    <w:rsid w:val="00B861CA"/>
    <w:rsid w:val="00B86510"/>
    <w:rsid w:val="00B86C49"/>
    <w:rsid w:val="00B87433"/>
    <w:rsid w:val="00B91F1F"/>
    <w:rsid w:val="00B93292"/>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07C3D"/>
    <w:rsid w:val="00C108E8"/>
    <w:rsid w:val="00C10B19"/>
    <w:rsid w:val="00C12DDA"/>
    <w:rsid w:val="00C14CEE"/>
    <w:rsid w:val="00C25007"/>
    <w:rsid w:val="00C36F5B"/>
    <w:rsid w:val="00C4452A"/>
    <w:rsid w:val="00C5233C"/>
    <w:rsid w:val="00C56153"/>
    <w:rsid w:val="00C602D9"/>
    <w:rsid w:val="00C75344"/>
    <w:rsid w:val="00C77524"/>
    <w:rsid w:val="00C83C22"/>
    <w:rsid w:val="00C863D9"/>
    <w:rsid w:val="00C865B4"/>
    <w:rsid w:val="00C928AB"/>
    <w:rsid w:val="00C92CA9"/>
    <w:rsid w:val="00C95D85"/>
    <w:rsid w:val="00CA58A9"/>
    <w:rsid w:val="00CA6282"/>
    <w:rsid w:val="00CA6BA4"/>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5946"/>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6737"/>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255"/>
    <w:rsid w:val="00E12EFA"/>
    <w:rsid w:val="00E17974"/>
    <w:rsid w:val="00E20BA8"/>
    <w:rsid w:val="00E20C79"/>
    <w:rsid w:val="00E23EE7"/>
    <w:rsid w:val="00E24F4E"/>
    <w:rsid w:val="00E259C2"/>
    <w:rsid w:val="00E31525"/>
    <w:rsid w:val="00E408B4"/>
    <w:rsid w:val="00E4501C"/>
    <w:rsid w:val="00E45C59"/>
    <w:rsid w:val="00E60AE7"/>
    <w:rsid w:val="00E62492"/>
    <w:rsid w:val="00E71E80"/>
    <w:rsid w:val="00E74531"/>
    <w:rsid w:val="00E755EA"/>
    <w:rsid w:val="00E76402"/>
    <w:rsid w:val="00E8372D"/>
    <w:rsid w:val="00E87F34"/>
    <w:rsid w:val="00E90C32"/>
    <w:rsid w:val="00E9179E"/>
    <w:rsid w:val="00E92224"/>
    <w:rsid w:val="00E92EFB"/>
    <w:rsid w:val="00E93B9D"/>
    <w:rsid w:val="00E94B19"/>
    <w:rsid w:val="00E94B35"/>
    <w:rsid w:val="00E95E1A"/>
    <w:rsid w:val="00E96966"/>
    <w:rsid w:val="00EA0D4D"/>
    <w:rsid w:val="00EA7EA9"/>
    <w:rsid w:val="00EB2700"/>
    <w:rsid w:val="00EB2CC6"/>
    <w:rsid w:val="00EB5CF2"/>
    <w:rsid w:val="00EC0504"/>
    <w:rsid w:val="00EC1B26"/>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34D8"/>
    <w:rsid w:val="00FC71C4"/>
    <w:rsid w:val="00FD2C84"/>
    <w:rsid w:val="00FE00A6"/>
    <w:rsid w:val="00FE093F"/>
    <w:rsid w:val="00FF0FF6"/>
    <w:rsid w:val="00FF49AB"/>
    <w:rsid w:val="00FF4D12"/>
    <w:rsid w:val="68B97279"/>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357F1B8"/>
  <w15:docId w15:val="{237A0D3E-5A63-43C5-B7E8-BE6ADEB1C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semiHidden="1" w:uiPriority="0"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4E2A"/>
    <w:rPr>
      <w:sz w:val="24"/>
      <w:szCs w:val="24"/>
    </w:rPr>
  </w:style>
  <w:style w:type="paragraph" w:styleId="berschrift1">
    <w:name w:val="heading 1"/>
    <w:basedOn w:val="Standard"/>
    <w:next w:val="Standard"/>
    <w:link w:val="berschrift1Zchn"/>
    <w:uiPriority w:val="99"/>
    <w:qFormat/>
    <w:rsid w:val="0095301F"/>
    <w:pPr>
      <w:keepNext/>
      <w:pageBreakBefore/>
      <w:numPr>
        <w:numId w:val="1"/>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1206CA"/>
    <w:pPr>
      <w:keepNext/>
      <w:numPr>
        <w:ilvl w:val="2"/>
        <w:numId w:val="1"/>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A773CA"/>
    <w:pPr>
      <w:keepNext/>
      <w:numPr>
        <w:ilvl w:val="3"/>
        <w:numId w:val="1"/>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A773CA"/>
    <w:pPr>
      <w:numPr>
        <w:ilvl w:val="4"/>
        <w:numId w:val="1"/>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A773CA"/>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9"/>
    <w:qFormat/>
    <w:rsid w:val="00A773CA"/>
    <w:pPr>
      <w:numPr>
        <w:ilvl w:val="6"/>
        <w:numId w:val="1"/>
      </w:numPr>
      <w:spacing w:before="240" w:after="60"/>
      <w:outlineLvl w:val="6"/>
    </w:pPr>
  </w:style>
  <w:style w:type="paragraph" w:styleId="berschrift8">
    <w:name w:val="heading 8"/>
    <w:basedOn w:val="Standard"/>
    <w:next w:val="Standard"/>
    <w:link w:val="berschrift8Zchn"/>
    <w:uiPriority w:val="99"/>
    <w:qFormat/>
    <w:rsid w:val="00A773CA"/>
    <w:pPr>
      <w:numPr>
        <w:ilvl w:val="7"/>
        <w:numId w:val="1"/>
      </w:numPr>
      <w:spacing w:before="240" w:after="60"/>
      <w:outlineLvl w:val="7"/>
    </w:pPr>
    <w:rPr>
      <w:i/>
      <w:iCs/>
    </w:rPr>
  </w:style>
  <w:style w:type="paragraph" w:styleId="berschrift9">
    <w:name w:val="heading 9"/>
    <w:basedOn w:val="Standard"/>
    <w:next w:val="Standard"/>
    <w:link w:val="berschrift9Zchn"/>
    <w:uiPriority w:val="99"/>
    <w:qFormat/>
    <w:rsid w:val="00A773C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95301F"/>
    <w:rPr>
      <w:b/>
      <w:bCs/>
      <w:kern w:val="32"/>
      <w:sz w:val="32"/>
      <w:szCs w:val="32"/>
    </w:rPr>
  </w:style>
  <w:style w:type="character" w:customStyle="1" w:styleId="berschrift2Zchn">
    <w:name w:val="Überschrift 2 Zchn"/>
    <w:basedOn w:val="Absatz-Standardschriftart"/>
    <w:link w:val="berschrift2"/>
    <w:uiPriority w:val="9"/>
    <w:rsid w:val="00BF7EF2"/>
    <w:rPr>
      <w:rFonts w:ascii="Arial" w:hAnsi="Arial" w:cs="Arial"/>
      <w:b/>
      <w:bCs/>
      <w:i/>
      <w:iCs/>
      <w:sz w:val="28"/>
      <w:szCs w:val="28"/>
    </w:rPr>
  </w:style>
  <w:style w:type="character" w:customStyle="1" w:styleId="berschrift3Zchn">
    <w:name w:val="Überschrift 3 Zchn"/>
    <w:basedOn w:val="Absatz-Standardschriftart"/>
    <w:link w:val="berschrift3"/>
    <w:uiPriority w:val="99"/>
    <w:rsid w:val="001206CA"/>
    <w:rPr>
      <w:rFonts w:cs="Arial"/>
      <w:b/>
      <w:bCs/>
      <w:sz w:val="24"/>
      <w:szCs w:val="26"/>
    </w:rPr>
  </w:style>
  <w:style w:type="character" w:customStyle="1" w:styleId="berschrift4Zchn">
    <w:name w:val="Überschrift 4 Zchn"/>
    <w:basedOn w:val="Absatz-Standardschriftart"/>
    <w:link w:val="berschrift4"/>
    <w:uiPriority w:val="99"/>
    <w:rsid w:val="00837D2A"/>
    <w:rPr>
      <w:b/>
      <w:bCs/>
      <w:i/>
      <w:sz w:val="24"/>
      <w:szCs w:val="28"/>
    </w:rPr>
  </w:style>
  <w:style w:type="character" w:customStyle="1" w:styleId="berschrift5Zchn">
    <w:name w:val="Überschrift 5 Zchn"/>
    <w:basedOn w:val="Absatz-Standardschriftart"/>
    <w:link w:val="berschrift5"/>
    <w:uiPriority w:val="99"/>
    <w:rsid w:val="00837D2A"/>
    <w:rPr>
      <w:b/>
      <w:bCs/>
      <w:i/>
      <w:iCs/>
      <w:sz w:val="26"/>
      <w:szCs w:val="26"/>
    </w:rPr>
  </w:style>
  <w:style w:type="character" w:customStyle="1" w:styleId="berschrift6Zchn">
    <w:name w:val="Überschrift 6 Zchn"/>
    <w:basedOn w:val="Absatz-Standardschriftart"/>
    <w:link w:val="berschrift6"/>
    <w:uiPriority w:val="99"/>
    <w:rsid w:val="00837D2A"/>
    <w:rPr>
      <w:b/>
      <w:bCs/>
    </w:rPr>
  </w:style>
  <w:style w:type="character" w:customStyle="1" w:styleId="berschrift7Zchn">
    <w:name w:val="Überschrift 7 Zchn"/>
    <w:basedOn w:val="Absatz-Standardschriftart"/>
    <w:link w:val="berschrift7"/>
    <w:uiPriority w:val="99"/>
    <w:rsid w:val="00837D2A"/>
    <w:rPr>
      <w:sz w:val="24"/>
      <w:szCs w:val="24"/>
    </w:rPr>
  </w:style>
  <w:style w:type="character" w:customStyle="1" w:styleId="berschrift8Zchn">
    <w:name w:val="Überschrift 8 Zchn"/>
    <w:basedOn w:val="Absatz-Standardschriftart"/>
    <w:link w:val="berschrift8"/>
    <w:uiPriority w:val="99"/>
    <w:rsid w:val="00837D2A"/>
    <w:rPr>
      <w:i/>
      <w:iCs/>
      <w:sz w:val="24"/>
      <w:szCs w:val="24"/>
    </w:rPr>
  </w:style>
  <w:style w:type="character" w:customStyle="1" w:styleId="berschrift9Zchn">
    <w:name w:val="Überschrift 9 Zchn"/>
    <w:basedOn w:val="Absatz-Standardschriftart"/>
    <w:link w:val="berschrift9"/>
    <w:uiPriority w:val="99"/>
    <w:rsid w:val="00837D2A"/>
    <w:rPr>
      <w:rFonts w:ascii="Arial" w:hAnsi="Arial" w:cs="Arial"/>
    </w:rPr>
  </w:style>
  <w:style w:type="paragraph" w:styleId="Verzeichnis1">
    <w:name w:val="toc 1"/>
    <w:basedOn w:val="Standard"/>
    <w:next w:val="Standard"/>
    <w:autoRedefine/>
    <w:uiPriority w:val="39"/>
    <w:rsid w:val="00F24C11"/>
    <w:pPr>
      <w:tabs>
        <w:tab w:val="left" w:pos="480"/>
        <w:tab w:val="right" w:leader="dot" w:pos="9628"/>
      </w:tabs>
      <w:spacing w:before="120"/>
    </w:pPr>
    <w:rPr>
      <w:b/>
      <w:sz w:val="28"/>
    </w:rPr>
  </w:style>
  <w:style w:type="character" w:styleId="Hyperlink">
    <w:name w:val="Hyperlink"/>
    <w:basedOn w:val="Absatz-Standardschriftart"/>
    <w:uiPriority w:val="99"/>
    <w:rsid w:val="00A773CA"/>
    <w:rPr>
      <w:rFonts w:cs="Times New Roman"/>
      <w:color w:val="0000FF"/>
      <w:u w:val="single"/>
    </w:rPr>
  </w:style>
  <w:style w:type="paragraph" w:styleId="Verzeichnis2">
    <w:name w:val="toc 2"/>
    <w:basedOn w:val="Standard"/>
    <w:next w:val="Standard"/>
    <w:autoRedefine/>
    <w:uiPriority w:val="39"/>
    <w:rsid w:val="00F45BF3"/>
    <w:pPr>
      <w:tabs>
        <w:tab w:val="left" w:pos="851"/>
        <w:tab w:val="right" w:leader="dot" w:pos="9628"/>
      </w:tabs>
      <w:ind w:left="240"/>
    </w:pPr>
  </w:style>
  <w:style w:type="paragraph" w:styleId="Verzeichnis3">
    <w:name w:val="toc 3"/>
    <w:basedOn w:val="Standard"/>
    <w:next w:val="Standard"/>
    <w:autoRedefine/>
    <w:uiPriority w:val="39"/>
    <w:rsid w:val="00A773CA"/>
    <w:pPr>
      <w:ind w:left="480"/>
    </w:pPr>
  </w:style>
  <w:style w:type="table" w:styleId="Tabellenraster">
    <w:name w:val="Table Grid"/>
    <w:basedOn w:val="NormaleTabelle"/>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A77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D2A"/>
    <w:rPr>
      <w:sz w:val="0"/>
      <w:szCs w:val="0"/>
    </w:rPr>
  </w:style>
  <w:style w:type="paragraph" w:styleId="Kopfzeile">
    <w:name w:val="header"/>
    <w:basedOn w:val="Standard"/>
    <w:link w:val="KopfzeileZchn"/>
    <w:uiPriority w:val="99"/>
    <w:rsid w:val="00A773CA"/>
    <w:pPr>
      <w:tabs>
        <w:tab w:val="center" w:pos="4536"/>
        <w:tab w:val="right" w:pos="9072"/>
      </w:tabs>
    </w:pPr>
  </w:style>
  <w:style w:type="character" w:customStyle="1" w:styleId="KopfzeileZchn">
    <w:name w:val="Kopfzeile Zchn"/>
    <w:basedOn w:val="Absatz-Standardschriftart"/>
    <w:link w:val="Kopfzeile"/>
    <w:uiPriority w:val="99"/>
    <w:rsid w:val="00837D2A"/>
    <w:rPr>
      <w:sz w:val="24"/>
      <w:szCs w:val="24"/>
    </w:rPr>
  </w:style>
  <w:style w:type="paragraph" w:styleId="Fuzeile">
    <w:name w:val="footer"/>
    <w:basedOn w:val="Standard"/>
    <w:link w:val="FuzeileZchn"/>
    <w:uiPriority w:val="99"/>
    <w:rsid w:val="00A773CA"/>
    <w:pPr>
      <w:tabs>
        <w:tab w:val="center" w:pos="4536"/>
        <w:tab w:val="right" w:pos="9072"/>
      </w:tabs>
    </w:pPr>
    <w:rPr>
      <w:lang w:eastAsia="ja-JP"/>
    </w:rPr>
  </w:style>
  <w:style w:type="character" w:customStyle="1" w:styleId="FuzeileZchn">
    <w:name w:val="Fußzeile Zchn"/>
    <w:basedOn w:val="Absatz-Standardschriftart"/>
    <w:link w:val="Fuzeile"/>
    <w:uiPriority w:val="99"/>
    <w:locked/>
    <w:rsid w:val="00A773CA"/>
    <w:rPr>
      <w:sz w:val="24"/>
    </w:rPr>
  </w:style>
  <w:style w:type="character" w:styleId="Seitenzahl">
    <w:name w:val="page number"/>
    <w:basedOn w:val="Absatz-Standardschriftart"/>
    <w:uiPriority w:val="99"/>
    <w:rsid w:val="00A773CA"/>
    <w:rPr>
      <w:rFonts w:cs="Times New Roman"/>
    </w:rPr>
  </w:style>
  <w:style w:type="paragraph" w:styleId="Inhaltsverzeichnisberschrift">
    <w:name w:val="TOC Heading"/>
    <w:basedOn w:val="berschrift1"/>
    <w:next w:val="Standard"/>
    <w:uiPriority w:val="39"/>
    <w:qFormat/>
    <w:rsid w:val="00A773CA"/>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A773CA"/>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A773CA"/>
    <w:rPr>
      <w:rFonts w:cs="Times New Roman"/>
      <w:sz w:val="16"/>
    </w:rPr>
  </w:style>
  <w:style w:type="paragraph" w:styleId="Kommentartext">
    <w:name w:val="annotation text"/>
    <w:basedOn w:val="Standard"/>
    <w:link w:val="KommentartextZchn"/>
    <w:uiPriority w:val="99"/>
    <w:semiHidden/>
    <w:rsid w:val="00A773CA"/>
    <w:rPr>
      <w:sz w:val="20"/>
      <w:szCs w:val="20"/>
    </w:rPr>
  </w:style>
  <w:style w:type="character" w:customStyle="1" w:styleId="KommentartextZchn">
    <w:name w:val="Kommentartext Zchn"/>
    <w:basedOn w:val="Absatz-Standardschriftart"/>
    <w:link w:val="Kommentartext"/>
    <w:uiPriority w:val="99"/>
    <w:semiHidden/>
    <w:locked/>
    <w:rsid w:val="00A773CA"/>
  </w:style>
  <w:style w:type="paragraph" w:styleId="Kommentarthema">
    <w:name w:val="annotation subject"/>
    <w:basedOn w:val="Kommentartext"/>
    <w:next w:val="Kommentartext"/>
    <w:link w:val="KommentarthemaZchn"/>
    <w:uiPriority w:val="99"/>
    <w:semiHidden/>
    <w:rsid w:val="00A773CA"/>
    <w:rPr>
      <w:b/>
      <w:bCs/>
    </w:rPr>
  </w:style>
  <w:style w:type="character" w:customStyle="1" w:styleId="KommentarthemaZchn">
    <w:name w:val="Kommentarthema Zchn"/>
    <w:basedOn w:val="KommentartextZchn"/>
    <w:link w:val="Kommentarthema"/>
    <w:uiPriority w:val="99"/>
    <w:semiHidden/>
    <w:rsid w:val="00837D2A"/>
    <w:rPr>
      <w:b/>
      <w:bCs/>
      <w:sz w:val="20"/>
      <w:szCs w:val="20"/>
    </w:rPr>
  </w:style>
  <w:style w:type="paragraph" w:customStyle="1" w:styleId="abbildung">
    <w:name w:val="abbildung"/>
    <w:basedOn w:val="Standard"/>
    <w:uiPriority w:val="99"/>
    <w:rsid w:val="00A773CA"/>
    <w:pPr>
      <w:jc w:val="both"/>
    </w:pPr>
    <w:rPr>
      <w:sz w:val="18"/>
    </w:rPr>
  </w:style>
  <w:style w:type="paragraph" w:styleId="Funotentext">
    <w:name w:val="footnote text"/>
    <w:basedOn w:val="Standard"/>
    <w:link w:val="FunotentextZchn"/>
    <w:rsid w:val="00A773CA"/>
    <w:rPr>
      <w:sz w:val="20"/>
      <w:szCs w:val="20"/>
    </w:rPr>
  </w:style>
  <w:style w:type="character" w:customStyle="1" w:styleId="FunotentextZchn">
    <w:name w:val="Fußnotentext Zchn"/>
    <w:basedOn w:val="Absatz-Standardschriftart"/>
    <w:link w:val="Funotentext"/>
    <w:uiPriority w:val="99"/>
    <w:semiHidden/>
    <w:rsid w:val="00837D2A"/>
    <w:rPr>
      <w:sz w:val="20"/>
      <w:szCs w:val="20"/>
    </w:rPr>
  </w:style>
  <w:style w:type="character" w:styleId="Funotenzeichen">
    <w:name w:val="footnote reference"/>
    <w:basedOn w:val="Absatz-Standardschriftart"/>
    <w:rsid w:val="00A773CA"/>
    <w:rPr>
      <w:rFonts w:cs="Times New Roman"/>
      <w:vertAlign w:val="superscript"/>
    </w:rPr>
  </w:style>
  <w:style w:type="table" w:styleId="HellesRaster-Akzent4">
    <w:name w:val="Light Grid Accent 4"/>
    <w:basedOn w:val="NormaleTabelle"/>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A773CA"/>
    <w:pPr>
      <w:spacing w:before="240" w:after="240"/>
      <w:jc w:val="center"/>
    </w:pPr>
    <w:rPr>
      <w:b/>
      <w:bCs/>
      <w:sz w:val="22"/>
      <w:szCs w:val="20"/>
    </w:rPr>
  </w:style>
  <w:style w:type="paragraph" w:styleId="Abbildungsverzeichnis">
    <w:name w:val="table of figures"/>
    <w:basedOn w:val="Standard"/>
    <w:next w:val="Standard"/>
    <w:uiPriority w:val="99"/>
    <w:rsid w:val="00A773CA"/>
  </w:style>
  <w:style w:type="paragraph" w:styleId="Verzeichnis4">
    <w:name w:val="toc 4"/>
    <w:basedOn w:val="Standard"/>
    <w:next w:val="Standard"/>
    <w:autoRedefine/>
    <w:uiPriority w:val="99"/>
    <w:rsid w:val="00A773CA"/>
    <w:pPr>
      <w:ind w:left="720"/>
    </w:pPr>
  </w:style>
  <w:style w:type="paragraph" w:styleId="Listenabsatz">
    <w:name w:val="List Paragraph"/>
    <w:basedOn w:val="Standard"/>
    <w:uiPriority w:val="34"/>
    <w:qFormat/>
    <w:rsid w:val="00A773CA"/>
    <w:pPr>
      <w:spacing w:after="200" w:line="276" w:lineRule="auto"/>
      <w:ind w:left="720"/>
      <w:contextualSpacing/>
    </w:pPr>
    <w:rPr>
      <w:rFonts w:ascii="Calibri" w:hAnsi="Calibri"/>
      <w:sz w:val="22"/>
      <w:szCs w:val="22"/>
      <w:lang w:eastAsia="en-US"/>
    </w:rPr>
  </w:style>
  <w:style w:type="paragraph" w:styleId="StandardWeb">
    <w:name w:val="Normal (Web)"/>
    <w:basedOn w:val="Standard"/>
    <w:uiPriority w:val="99"/>
    <w:rsid w:val="00A773CA"/>
    <w:pPr>
      <w:spacing w:before="100" w:beforeAutospacing="1" w:after="100" w:afterAutospacing="1"/>
    </w:pPr>
  </w:style>
  <w:style w:type="paragraph" w:styleId="Dokumentstruktur">
    <w:name w:val="Document Map"/>
    <w:basedOn w:val="Standard"/>
    <w:link w:val="DokumentstrukturZchn"/>
    <w:uiPriority w:val="99"/>
    <w:semiHidden/>
    <w:rsid w:val="00A773CA"/>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837D2A"/>
    <w:rPr>
      <w:sz w:val="0"/>
      <w:szCs w:val="0"/>
    </w:rPr>
  </w:style>
  <w:style w:type="paragraph" w:styleId="Aufzhlungszeichen">
    <w:name w:val="List Bullet"/>
    <w:basedOn w:val="Standard"/>
    <w:uiPriority w:val="99"/>
    <w:rsid w:val="00A773CA"/>
    <w:pPr>
      <w:tabs>
        <w:tab w:val="num" w:pos="360"/>
      </w:tabs>
      <w:ind w:left="360" w:hanging="360"/>
      <w:contextualSpacing/>
    </w:pPr>
  </w:style>
  <w:style w:type="character" w:customStyle="1" w:styleId="googqs-tidbit-0">
    <w:name w:val="goog_qs-tidbit-0"/>
    <w:basedOn w:val="Absatz-Standardschriftart"/>
    <w:uiPriority w:val="99"/>
    <w:rsid w:val="00A773CA"/>
    <w:rPr>
      <w:rFonts w:cs="Times New Roman"/>
    </w:rPr>
  </w:style>
  <w:style w:type="paragraph" w:styleId="Textkrper">
    <w:name w:val="Body Text"/>
    <w:aliases w:val="Char"/>
    <w:basedOn w:val="Standard"/>
    <w:link w:val="TextkrperZchn"/>
    <w:uiPriority w:val="99"/>
    <w:rsid w:val="00A773CA"/>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locked/>
    <w:rsid w:val="00A773CA"/>
    <w:rPr>
      <w:sz w:val="22"/>
      <w:lang w:val="en-US" w:eastAsia="en-US"/>
    </w:rPr>
  </w:style>
  <w:style w:type="character" w:styleId="Fett">
    <w:name w:val="Strong"/>
    <w:basedOn w:val="Absatz-Standardschriftart"/>
    <w:uiPriority w:val="22"/>
    <w:qFormat/>
    <w:rsid w:val="00A773CA"/>
    <w:rPr>
      <w:rFonts w:cs="Times New Roman"/>
      <w:b/>
    </w:rPr>
  </w:style>
  <w:style w:type="character" w:styleId="Hervorhebung">
    <w:name w:val="Emphasis"/>
    <w:basedOn w:val="Absatz-Standardschriftart"/>
    <w:uiPriority w:val="20"/>
    <w:qFormat/>
    <w:rsid w:val="00A773CA"/>
    <w:rPr>
      <w:rFonts w:cs="Times New Roman"/>
      <w:i/>
    </w:rPr>
  </w:style>
  <w:style w:type="paragraph" w:customStyle="1" w:styleId="StandardWe">
    <w:name w:val="Standard (We"/>
    <w:basedOn w:val="Standard"/>
    <w:uiPriority w:val="99"/>
    <w:rsid w:val="00A773CA"/>
    <w:pPr>
      <w:spacing w:before="100" w:beforeAutospacing="1" w:after="100" w:afterAutospacing="1"/>
    </w:pPr>
  </w:style>
  <w:style w:type="paragraph" w:customStyle="1" w:styleId="Absatz">
    <w:name w:val="Absatz"/>
    <w:basedOn w:val="Standard"/>
    <w:uiPriority w:val="99"/>
    <w:rsid w:val="00A773CA"/>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KeinLeerraum">
    <w:name w:val="No Spacing"/>
    <w:uiPriority w:val="99"/>
    <w:qFormat/>
    <w:rsid w:val="00A773CA"/>
    <w:rPr>
      <w:rFonts w:ascii="Garamond" w:hAnsi="Garamond"/>
      <w:lang w:eastAsia="de-DE"/>
    </w:rPr>
  </w:style>
  <w:style w:type="paragraph" w:customStyle="1" w:styleId="text">
    <w:name w:val="text"/>
    <w:basedOn w:val="Standard"/>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Absatz-Standardschriftart"/>
    <w:rsid w:val="00805150"/>
  </w:style>
  <w:style w:type="table" w:customStyle="1" w:styleId="Listentabelle6farbig1">
    <w:name w:val="Listentabelle 6 farbig1"/>
    <w:basedOn w:val="NormaleTabelle"/>
    <w:uiPriority w:val="51"/>
    <w:rsid w:val="00805150"/>
    <w:rPr>
      <w:rFonts w:asciiTheme="minorHAnsi" w:eastAsiaTheme="minorHAnsi" w:hAnsiTheme="minorHAnsi" w:cstheme="minorBidi"/>
      <w:color w:val="000000" w:themeColor="text1"/>
      <w:lang w:val="de-DE"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264C73"/>
  </w:style>
  <w:style w:type="paragraph" w:customStyle="1" w:styleId="Standa3">
    <w:name w:val="Standa3"/>
    <w:uiPriority w:val="99"/>
    <w:rsid w:val="001206CA"/>
    <w:pPr>
      <w:spacing w:after="200" w:line="276" w:lineRule="auto"/>
      <w:jc w:val="both"/>
    </w:pPr>
    <w:rPr>
      <w:rFonts w:ascii="Calibri" w:hAnsi="Calibri"/>
      <w:lang w:val="fr-CH" w:eastAsia="fr-CH"/>
    </w:rPr>
  </w:style>
  <w:style w:type="table" w:customStyle="1" w:styleId="Tabellenraster1">
    <w:name w:val="Tabellenraster1"/>
    <w:basedOn w:val="NormaleTabelle"/>
    <w:next w:val="Tabellenraster"/>
    <w:uiPriority w:val="59"/>
    <w:rsid w:val="006960AD"/>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lang w:val="de-DE"/>
    </w:rPr>
  </w:style>
  <w:style w:type="paragraph" w:customStyle="1" w:styleId="Fallstudietext">
    <w:name w:val="Fallstudie text"/>
    <w:basedOn w:val="Standard"/>
    <w:rsid w:val="0087723C"/>
    <w:rPr>
      <w:rFonts w:ascii="Palatino Linotype" w:hAnsi="Palatino Linotype"/>
      <w:noProof/>
      <w:sz w:val="20"/>
      <w:szCs w:val="20"/>
      <w:lang w:eastAsia="de-DE"/>
    </w:rPr>
  </w:style>
  <w:style w:type="paragraph" w:customStyle="1" w:styleId="berschriftohneZhlung">
    <w:name w:val="Überschrift ohne Zählung"/>
    <w:basedOn w:val="berschrift3"/>
    <w:rsid w:val="0087723C"/>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A64461"/>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C3C6B"/>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935EC"/>
    <w:rPr>
      <w:rFonts w:ascii="Calibri"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434E3"/>
    <w:rPr>
      <w:rFonts w:ascii="Calibri" w:eastAsia="Calibri" w:hAnsi="Calibr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1E7678"/>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B7DD8"/>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E12255"/>
    <w:rPr>
      <w:color w:val="605E5C"/>
      <w:shd w:val="clear" w:color="auto" w:fill="E1DFDD"/>
    </w:rPr>
  </w:style>
  <w:style w:type="paragraph" w:styleId="berarbeitung">
    <w:name w:val="Revision"/>
    <w:hidden/>
    <w:uiPriority w:val="99"/>
    <w:semiHidden/>
    <w:rsid w:val="009B74C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youtube.com/watch?v=Ruvb_kGAMYw&amp;t=1s"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177635C-6AEF-430A-98A6-A112B618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1110</Words>
  <Characters>6993</Characters>
  <Application>Microsoft Office Word</Application>
  <DocSecurity>0</DocSecurity>
  <Lines>58</Lines>
  <Paragraphs>16</Paragraphs>
  <ScaleCrop>false</ScaleCrop>
  <Company>Université de Fribourg</Company>
  <LinksUpToDate>false</LinksUpToDate>
  <CharactersWithSpaces>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Kramer Pia</cp:lastModifiedBy>
  <cp:revision>2</cp:revision>
  <cp:lastPrinted>2017-02-11T12:58:00Z</cp:lastPrinted>
  <dcterms:created xsi:type="dcterms:W3CDTF">2022-12-06T05:46:00Z</dcterms:created>
  <dcterms:modified xsi:type="dcterms:W3CDTF">2022-12-06T05:46:00Z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